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284B" w:rsidRDefault="00D55746" w:rsidP="0021284B">
      <w:pPr>
        <w:rPr>
          <w:rFonts w:asciiTheme="majorHAnsi" w:hAnsiTheme="majorHAnsi"/>
          <w:b/>
          <w:sz w:val="40"/>
          <w:szCs w:val="48"/>
        </w:rPr>
      </w:pPr>
      <w:r w:rsidRPr="003C5BB2">
        <w:rPr>
          <w:rFonts w:asciiTheme="majorHAnsi" w:hAnsiTheme="majorHAnsi"/>
          <w:i/>
          <w:noProof/>
          <w:sz w:val="56"/>
          <w:szCs w:val="48"/>
        </w:rPr>
        <w:drawing>
          <wp:anchor distT="0" distB="0" distL="114300" distR="114300" simplePos="0" relativeHeight="251660288" behindDoc="1" locked="0" layoutInCell="1" allowOverlap="1">
            <wp:simplePos x="0" y="0"/>
            <wp:positionH relativeFrom="column">
              <wp:posOffset>1341061</wp:posOffset>
            </wp:positionH>
            <wp:positionV relativeFrom="paragraph">
              <wp:posOffset>521659</wp:posOffset>
            </wp:positionV>
            <wp:extent cx="2006600" cy="1504950"/>
            <wp:effectExtent l="38100" t="38100" r="31750" b="38100"/>
            <wp:wrapTight wrapText="bothSides">
              <wp:wrapPolygon edited="0">
                <wp:start x="-410" y="-547"/>
                <wp:lineTo x="-410" y="21873"/>
                <wp:lineTo x="21737" y="21873"/>
                <wp:lineTo x="21737" y="-547"/>
                <wp:lineTo x="-410" y="-547"/>
              </wp:wrapPolygon>
            </wp:wrapTight>
            <wp:docPr id="7" name="Picture 3">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RcigUAtvGuVjJLWAHxoozGeLwFPI3UbBe-TKhiO4GiESS8-6xB">
                      <a:hlinkClick r:id="rId7"/>
                    </pic:cNvPr>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6600" cy="1504950"/>
                    </a:xfrm>
                    <a:prstGeom prst="rect">
                      <a:avLst/>
                    </a:prstGeom>
                    <a:noFill/>
                    <a:ln w="38100">
                      <a:solidFill>
                        <a:schemeClr val="tx1"/>
                      </a:solidFill>
                      <a:miter lim="800000"/>
                      <a:headEnd/>
                      <a:tailEnd/>
                    </a:ln>
                  </pic:spPr>
                </pic:pic>
              </a:graphicData>
            </a:graphic>
          </wp:anchor>
        </w:drawing>
      </w:r>
      <w:r w:rsidR="00E513CB">
        <w:rPr>
          <w:rFonts w:asciiTheme="majorHAnsi" w:hAnsiTheme="majorHAnsi"/>
          <w:b/>
          <w:i/>
          <w:noProof/>
          <w:sz w:val="56"/>
          <w:szCs w:val="48"/>
        </w:rPr>
        <w:pict>
          <v:rect id="Rectangle 2" o:spid="_x0000_s1026" style="position:absolute;margin-left:-37.55pt;margin-top:39pt;width:116.25pt;height:39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39 -41 -139 21559 21739 21559 21739 -41 -139 -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" fillcolor="#ffc000" strokecolor="#1f4d78 [1604]" strokeweight="1pt">
            <w10:wrap type="tight"/>
          </v:rect>
        </w:pict>
      </w:r>
      <w:r w:rsidR="0021284B" w:rsidRPr="0021284B">
        <w:rPr>
          <w:rFonts w:asciiTheme="majorHAnsi" w:hAnsiTheme="majorHAnsi"/>
          <w:b/>
          <w:sz w:val="40"/>
          <w:szCs w:val="48"/>
        </w:rPr>
        <w:t xml:space="preserve"> </w:t>
      </w:r>
    </w:p>
    <w:p w:rsidR="0021284B" w:rsidRPr="003C5BB2" w:rsidRDefault="00F15F6E" w:rsidP="0021284B">
      <w:pPr>
        <w:rPr>
          <w:rFonts w:asciiTheme="majorHAnsi" w:hAnsiTheme="majorHAnsi"/>
          <w:i/>
          <w:sz w:val="56"/>
          <w:szCs w:val="48"/>
        </w:rPr>
      </w:pPr>
      <w:r w:rsidRPr="003C5BB2">
        <w:rPr>
          <w:rFonts w:asciiTheme="majorHAnsi" w:hAnsiTheme="majorHAnsi"/>
          <w:i/>
          <w:noProof/>
          <w:sz w:val="56"/>
          <w:szCs w:val="48"/>
        </w:rPr>
        <w:drawing>
          <wp:anchor distT="0" distB="0" distL="114300" distR="114300" simplePos="0" relativeHeight="251663360" behindDoc="1" locked="0" layoutInCell="1" allowOverlap="1">
            <wp:simplePos x="0" y="0"/>
            <wp:positionH relativeFrom="margin">
              <wp:posOffset>3797300</wp:posOffset>
            </wp:positionH>
            <wp:positionV relativeFrom="paragraph">
              <wp:posOffset>242570</wp:posOffset>
            </wp:positionV>
            <wp:extent cx="2006600" cy="1504950"/>
            <wp:effectExtent l="38100" t="38100" r="31750" b="38100"/>
            <wp:wrapTight wrapText="bothSides">
              <wp:wrapPolygon edited="0">
                <wp:start x="-410" y="-547"/>
                <wp:lineTo x="-410" y="21873"/>
                <wp:lineTo x="21737" y="21873"/>
                <wp:lineTo x="21737" y="-547"/>
                <wp:lineTo x="-410" y="-547"/>
              </wp:wrapPolygon>
            </wp:wrapTight>
            <wp:docPr id="22" name="irc_mi">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roxanneardary.com/wp-content/uploads/2011/05/Mount-Laurel-active-adult.jpg">
                      <a:hlinkClick r:id="rId9"/>
                    </pic:cNvPr>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06600" cy="1504950"/>
                    </a:xfrm>
                    <a:prstGeom prst="rect">
                      <a:avLst/>
                    </a:prstGeom>
                    <a:noFill/>
                    <a:ln w="38100">
                      <a:solidFill>
                        <a:schemeClr val="tx1"/>
                      </a:solidFill>
                      <a:miter lim="800000"/>
                      <a:headEnd/>
                      <a:tailEnd/>
                    </a:ln>
                  </pic:spPr>
                </pic:pic>
              </a:graphicData>
            </a:graphic>
          </wp:anchor>
        </w:drawing>
      </w:r>
      <w:r w:rsidR="0021284B" w:rsidRPr="003C5BB2">
        <w:rPr>
          <w:rFonts w:asciiTheme="majorHAnsi" w:hAnsiTheme="majorHAnsi"/>
          <w:b/>
          <w:i/>
          <w:sz w:val="56"/>
          <w:szCs w:val="48"/>
        </w:rPr>
        <w:t>2</w:t>
      </w:r>
      <w:r w:rsidR="0021284B" w:rsidRPr="003C5BB2">
        <w:rPr>
          <w:rFonts w:asciiTheme="majorHAnsi" w:hAnsiTheme="majorHAnsi"/>
          <w:i/>
          <w:sz w:val="56"/>
          <w:szCs w:val="48"/>
        </w:rPr>
        <w:t>020 Vision</w:t>
      </w:r>
    </w:p>
    <w:p w:rsidR="003C5BB2" w:rsidRPr="003C5BB2" w:rsidRDefault="003C5BB2" w:rsidP="0021284B">
      <w:pPr>
        <w:rPr>
          <w:rFonts w:asciiTheme="majorHAnsi" w:hAnsiTheme="majorHAnsi"/>
          <w:b/>
          <w:sz w:val="72"/>
          <w:szCs w:val="48"/>
        </w:rPr>
      </w:pPr>
    </w:p>
    <w:p w:rsidR="0021284B" w:rsidRPr="003C5BB2" w:rsidRDefault="00F15F6E" w:rsidP="0021284B">
      <w:pPr>
        <w:rPr>
          <w:rFonts w:asciiTheme="majorHAnsi" w:hAnsiTheme="majorHAnsi"/>
          <w:sz w:val="72"/>
          <w:szCs w:val="48"/>
        </w:rPr>
      </w:pPr>
      <w:r w:rsidRPr="003C5BB2">
        <w:rPr>
          <w:rFonts w:asciiTheme="majorHAnsi" w:hAnsiTheme="majorHAnsi"/>
          <w:sz w:val="72"/>
          <w:szCs w:val="48"/>
        </w:rPr>
        <w:t>Healthy Homes and Sustainable Communities</w:t>
      </w:r>
    </w:p>
    <w:p w:rsidR="00E73BDC" w:rsidRPr="003830F2" w:rsidRDefault="00E73BDC" w:rsidP="00E73BDC">
      <w:pPr>
        <w:pBdr>
          <w:bottom w:val="single" w:sz="4" w:space="1" w:color="auto"/>
        </w:pBdr>
        <w:jc w:val="center"/>
        <w:rPr>
          <w:rFonts w:asciiTheme="majorHAnsi" w:hAnsiTheme="majorHAnsi"/>
          <w:b/>
          <w:sz w:val="44"/>
          <w:szCs w:val="48"/>
        </w:rPr>
      </w:pPr>
    </w:p>
    <w:p w:rsidR="00E73BDC" w:rsidRDefault="00E73BDC" w:rsidP="00E73BDC">
      <w:pPr>
        <w:jc w:val="center"/>
        <w:rPr>
          <w:noProof/>
          <w:color w:val="194B8D"/>
        </w:rPr>
      </w:pPr>
    </w:p>
    <w:p w:rsidR="003C5BB2" w:rsidRPr="00E35E1E" w:rsidRDefault="003C5BB2" w:rsidP="003C5BB2">
      <w:pPr>
        <w:rPr>
          <w:rFonts w:asciiTheme="majorHAnsi" w:hAnsiTheme="majorHAnsi"/>
          <w:szCs w:val="24"/>
        </w:rPr>
      </w:pPr>
      <w:r w:rsidRPr="00E35E1E">
        <w:rPr>
          <w:rFonts w:asciiTheme="majorHAnsi" w:hAnsiTheme="majorHAnsi"/>
          <w:sz w:val="72"/>
          <w:szCs w:val="48"/>
        </w:rPr>
        <w:t xml:space="preserve">Data Report </w:t>
      </w:r>
      <w:r w:rsidR="0083010F">
        <w:rPr>
          <w:rFonts w:asciiTheme="majorHAnsi" w:hAnsiTheme="majorHAnsi"/>
          <w:sz w:val="72"/>
          <w:szCs w:val="48"/>
        </w:rPr>
        <w:t>2017</w:t>
      </w:r>
    </w:p>
    <w:p w:rsidR="00E73BDC" w:rsidRDefault="00E73BDC" w:rsidP="00E73BDC">
      <w:pPr>
        <w:jc w:val="center"/>
        <w:rPr>
          <w:sz w:val="30"/>
          <w:szCs w:val="30"/>
        </w:rPr>
      </w:pPr>
    </w:p>
    <w:p w:rsidR="008B4155" w:rsidRDefault="008B4155"/>
    <w:p w:rsidR="003C5BB2" w:rsidRDefault="003C5BB2"/>
    <w:p w:rsidR="003C5BB2" w:rsidRDefault="003C5BB2"/>
    <w:p w:rsidR="003C5BB2" w:rsidRDefault="003C5BB2"/>
    <w:p w:rsidR="003C5BB2" w:rsidRDefault="003C5BB2"/>
    <w:p w:rsidR="003C5BB2" w:rsidRDefault="003C5BB2">
      <w:r>
        <w:rPr>
          <w:noProof/>
          <w:sz w:val="30"/>
          <w:szCs w:val="30"/>
        </w:rPr>
        <w:drawing>
          <wp:anchor distT="0" distB="0" distL="114300" distR="114300" simplePos="0" relativeHeight="251659264" behindDoc="1" locked="0" layoutInCell="1" allowOverlap="1">
            <wp:simplePos x="0" y="0"/>
            <wp:positionH relativeFrom="margin">
              <wp:posOffset>685800</wp:posOffset>
            </wp:positionH>
            <wp:positionV relativeFrom="paragraph">
              <wp:posOffset>127635</wp:posOffset>
            </wp:positionV>
            <wp:extent cx="4964430" cy="1046480"/>
            <wp:effectExtent l="0" t="0" r="7620" b="1270"/>
            <wp:wrapTight wrapText="bothSides">
              <wp:wrapPolygon edited="0">
                <wp:start x="0" y="0"/>
                <wp:lineTo x="0" y="21233"/>
                <wp:lineTo x="21550" y="21233"/>
                <wp:lineTo x="21550" y="0"/>
                <wp:lineTo x="0" y="0"/>
              </wp:wrapPolygon>
            </wp:wrapTight>
            <wp:docPr id="3" name="logo" descr="Buffalo County Community Partner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Buffalo County Community Partners">
                      <a:hlinkClick r:id="rId11"/>
                    </pic:cNvPr>
                    <pic:cNvPicPr>
                      <a:picLocks noChangeAspect="1" noChangeArrowheads="1"/>
                    </pic:cNvPicPr>
                  </pic:nvPicPr>
                  <pic:blipFill>
                    <a:blip r:embed="rId12" cstate="print"/>
                    <a:srcRect/>
                    <a:stretch>
                      <a:fillRect/>
                    </a:stretch>
                  </pic:blipFill>
                  <pic:spPr bwMode="auto">
                    <a:xfrm>
                      <a:off x="0" y="0"/>
                      <a:ext cx="4964430" cy="1046480"/>
                    </a:xfrm>
                    <a:prstGeom prst="rect">
                      <a:avLst/>
                    </a:prstGeom>
                    <a:noFill/>
                    <a:ln w="9525">
                      <a:noFill/>
                      <a:miter lim="800000"/>
                      <a:headEnd/>
                      <a:tailEnd/>
                    </a:ln>
                  </pic:spPr>
                </pic:pic>
              </a:graphicData>
            </a:graphic>
          </wp:anchor>
        </w:drawing>
      </w:r>
    </w:p>
    <w:p w:rsidR="003C5BB2" w:rsidRDefault="003C5BB2"/>
    <w:p w:rsidR="003C5BB2" w:rsidRDefault="003C5BB2"/>
    <w:p w:rsidR="003C5BB2" w:rsidRDefault="003C5BB2"/>
    <w:p w:rsidR="003C5BB2" w:rsidRDefault="003C5BB2"/>
    <w:p w:rsidR="003C5BB2" w:rsidRDefault="003C5BB2" w:rsidP="003C5BB2">
      <w:pPr>
        <w:spacing w:after="160" w:line="259" w:lineRule="auto"/>
      </w:pPr>
    </w:p>
    <w:p w:rsidR="003C5BB2" w:rsidRPr="00303959" w:rsidRDefault="00D6728D" w:rsidP="00D6728D">
      <w:pPr>
        <w:tabs>
          <w:tab w:val="left" w:pos="4019"/>
          <w:tab w:val="left" w:pos="4772"/>
        </w:tabs>
        <w:jc w:val="center"/>
        <w:rPr>
          <w:rFonts w:asciiTheme="majorHAnsi" w:hAnsiTheme="majorHAnsi"/>
          <w:b/>
          <w:sz w:val="48"/>
          <w:szCs w:val="48"/>
        </w:rPr>
      </w:pPr>
      <w:r>
        <w:rPr>
          <w:rFonts w:asciiTheme="majorHAnsi" w:hAnsiTheme="majorHAnsi"/>
          <w:b/>
          <w:sz w:val="48"/>
          <w:szCs w:val="48"/>
        </w:rPr>
        <w:lastRenderedPageBreak/>
        <w:t>H</w:t>
      </w:r>
      <w:r w:rsidR="002E5727">
        <w:rPr>
          <w:rFonts w:asciiTheme="majorHAnsi" w:hAnsiTheme="majorHAnsi"/>
          <w:b/>
          <w:sz w:val="48"/>
          <w:szCs w:val="48"/>
        </w:rPr>
        <w:t>ealthy Homes and Sustainable Communities</w:t>
      </w:r>
    </w:p>
    <w:p w:rsidR="003C5BB2" w:rsidRPr="00673C84" w:rsidRDefault="003C5BB2" w:rsidP="003C5BB2">
      <w:pPr>
        <w:jc w:val="center"/>
        <w:rPr>
          <w:rFonts w:asciiTheme="majorHAnsi" w:hAnsiTheme="majorHAnsi"/>
          <w:b/>
          <w:sz w:val="32"/>
          <w:szCs w:val="48"/>
        </w:rPr>
      </w:pPr>
    </w:p>
    <w:p w:rsidR="003C5BB2" w:rsidRPr="00673C84" w:rsidRDefault="003C5BB2" w:rsidP="003C5BB2">
      <w:pPr>
        <w:jc w:val="center"/>
        <w:rPr>
          <w:rFonts w:asciiTheme="majorHAnsi" w:hAnsiTheme="majorHAnsi"/>
          <w:szCs w:val="24"/>
        </w:rPr>
      </w:pPr>
      <w:r w:rsidRPr="00673C84">
        <w:rPr>
          <w:rFonts w:asciiTheme="majorHAnsi" w:hAnsiTheme="majorHAnsi"/>
          <w:sz w:val="48"/>
          <w:szCs w:val="48"/>
        </w:rPr>
        <w:t xml:space="preserve">Data Report </w:t>
      </w:r>
      <w:r w:rsidR="0083010F">
        <w:rPr>
          <w:rFonts w:asciiTheme="majorHAnsi" w:hAnsiTheme="majorHAnsi"/>
          <w:sz w:val="48"/>
          <w:szCs w:val="48"/>
        </w:rPr>
        <w:t>2017</w:t>
      </w:r>
    </w:p>
    <w:p w:rsidR="003C5BB2" w:rsidRPr="00303959" w:rsidRDefault="003C5BB2" w:rsidP="003C5BB2">
      <w:pPr>
        <w:pBdr>
          <w:bottom w:val="single" w:sz="4" w:space="8" w:color="auto"/>
        </w:pBdr>
        <w:jc w:val="center"/>
        <w:rPr>
          <w:rFonts w:asciiTheme="majorHAnsi" w:hAnsiTheme="majorHAnsi"/>
          <w:b/>
          <w:sz w:val="16"/>
          <w:szCs w:val="48"/>
        </w:rPr>
      </w:pPr>
    </w:p>
    <w:p w:rsidR="003C5BB2" w:rsidRPr="00054D4D" w:rsidRDefault="003C5BB2" w:rsidP="003C5BB2">
      <w:pPr>
        <w:jc w:val="center"/>
        <w:rPr>
          <w:noProof/>
          <w:color w:val="194B8D"/>
        </w:rPr>
      </w:pPr>
    </w:p>
    <w:p w:rsidR="003C5BB2" w:rsidRPr="00054D4D" w:rsidRDefault="003C5BB2" w:rsidP="003C5BB2">
      <w:pPr>
        <w:jc w:val="center"/>
        <w:rPr>
          <w:noProof/>
          <w:color w:val="194B8D"/>
        </w:rPr>
      </w:pPr>
    </w:p>
    <w:p w:rsidR="003C5BB2" w:rsidRPr="00673C84" w:rsidRDefault="003C5BB2" w:rsidP="00861998">
      <w:pPr>
        <w:pBdr>
          <w:left w:val="single" w:sz="4" w:space="4" w:color="auto"/>
          <w:bottom w:val="single" w:sz="4" w:space="1" w:color="auto"/>
        </w:pBdr>
        <w:shd w:val="clear" w:color="auto" w:fill="FFC000" w:themeFill="accent4"/>
        <w:jc w:val="center"/>
        <w:rPr>
          <w:sz w:val="40"/>
        </w:rPr>
      </w:pPr>
      <w:r w:rsidRPr="00673C84">
        <w:rPr>
          <w:sz w:val="40"/>
        </w:rPr>
        <w:t>Introduction</w:t>
      </w:r>
    </w:p>
    <w:p w:rsidR="003C5BB2" w:rsidRDefault="003C5BB2" w:rsidP="003C5BB2"/>
    <w:p w:rsidR="003C5BB2" w:rsidRDefault="00FC0C28" w:rsidP="003C5BB2">
      <w:r>
        <w:t>Buffalo County</w:t>
      </w:r>
      <w:r w:rsidR="003C5BB2">
        <w:t xml:space="preserve"> Community Partners has developed a 2020 vision around five strategic directions:</w:t>
      </w:r>
    </w:p>
    <w:p w:rsidR="003C5BB2" w:rsidRDefault="003C5BB2" w:rsidP="003C5BB2"/>
    <w:p w:rsidR="003C5BB2" w:rsidRDefault="003C5BB2" w:rsidP="003C5BB2">
      <w:pPr>
        <w:pStyle w:val="ListParagraph"/>
        <w:numPr>
          <w:ilvl w:val="0"/>
          <w:numId w:val="2"/>
        </w:numPr>
      </w:pPr>
      <w:r>
        <w:t>Active Lifestyle and Healthy Eating</w:t>
      </w:r>
    </w:p>
    <w:p w:rsidR="003C5BB2" w:rsidRPr="0051408D" w:rsidRDefault="003C5BB2" w:rsidP="003C5BB2">
      <w:pPr>
        <w:pStyle w:val="ListParagraph"/>
        <w:numPr>
          <w:ilvl w:val="0"/>
          <w:numId w:val="2"/>
        </w:numPr>
      </w:pPr>
      <w:r w:rsidRPr="0051408D">
        <w:t>Eliminate Health Disparities</w:t>
      </w:r>
    </w:p>
    <w:p w:rsidR="003C5BB2" w:rsidRPr="005B6E59" w:rsidRDefault="003C5BB2" w:rsidP="003C5BB2">
      <w:pPr>
        <w:pStyle w:val="ListParagraph"/>
        <w:numPr>
          <w:ilvl w:val="0"/>
          <w:numId w:val="2"/>
        </w:numPr>
      </w:pPr>
      <w:r w:rsidRPr="005B6E59">
        <w:t>High Impact Prevention Services</w:t>
      </w:r>
    </w:p>
    <w:p w:rsidR="003C5BB2" w:rsidRPr="0051408D" w:rsidRDefault="003C5BB2" w:rsidP="003C5BB2">
      <w:pPr>
        <w:pStyle w:val="ListParagraph"/>
        <w:numPr>
          <w:ilvl w:val="0"/>
          <w:numId w:val="2"/>
        </w:numPr>
        <w:rPr>
          <w:b/>
        </w:rPr>
      </w:pPr>
      <w:r w:rsidRPr="0051408D">
        <w:rPr>
          <w:b/>
        </w:rPr>
        <w:t>Healthy Homes and Sustainable Communities</w:t>
      </w:r>
    </w:p>
    <w:p w:rsidR="003C5BB2" w:rsidRDefault="003C5BB2" w:rsidP="003C5BB2">
      <w:pPr>
        <w:pStyle w:val="ListParagraph"/>
        <w:numPr>
          <w:ilvl w:val="0"/>
          <w:numId w:val="2"/>
        </w:numPr>
      </w:pPr>
      <w:r>
        <w:t xml:space="preserve">Injury Free Living </w:t>
      </w:r>
    </w:p>
    <w:p w:rsidR="003C5BB2" w:rsidRDefault="003C5BB2" w:rsidP="003C5BB2"/>
    <w:p w:rsidR="003C5BB2" w:rsidRDefault="003C5BB2" w:rsidP="003C5BB2">
      <w:r>
        <w:t>Each strategic direction has identified 2020 well-being indicators as well as measures and targets. The purpose of the data reports for each of the strategic directions is to provide baseline and indicator data directly related to each of the strategic directions to measure and review changes in the community data. Data sources are indicated with</w:t>
      </w:r>
      <w:r w:rsidR="004F0DFF">
        <w:t>in</w:t>
      </w:r>
      <w:r>
        <w:t xml:space="preserve"> each of the </w:t>
      </w:r>
      <w:r w:rsidR="004F0DFF">
        <w:t>tables and</w:t>
      </w:r>
      <w:r>
        <w:t xml:space="preserve"> figures. The</w:t>
      </w:r>
      <w:r w:rsidR="004F0DFF">
        <w:t xml:space="preserve"> tables and</w:t>
      </w:r>
      <w:r>
        <w:t xml:space="preserve"> figures may include, when available an</w:t>
      </w:r>
      <w:r w:rsidR="00216D27">
        <w:t xml:space="preserve">d appropriate, regional, and state </w:t>
      </w:r>
      <w:r>
        <w:t xml:space="preserve">data comparisons. </w:t>
      </w:r>
    </w:p>
    <w:p w:rsidR="004F0DFF" w:rsidRDefault="004F0DFF" w:rsidP="003C5BB2"/>
    <w:p w:rsidR="004F0DFF" w:rsidRDefault="004F0DFF" w:rsidP="003C5BB2"/>
    <w:p w:rsidR="003C5BB2" w:rsidRDefault="003C5BB2" w:rsidP="00861998">
      <w:pPr>
        <w:pBdr>
          <w:left w:val="single" w:sz="4" w:space="4" w:color="auto"/>
          <w:bottom w:val="single" w:sz="4" w:space="1" w:color="auto"/>
        </w:pBdr>
        <w:shd w:val="clear" w:color="auto" w:fill="FFC000" w:themeFill="accent4"/>
        <w:jc w:val="center"/>
        <w:rPr>
          <w:sz w:val="40"/>
        </w:rPr>
      </w:pPr>
      <w:r>
        <w:rPr>
          <w:sz w:val="40"/>
        </w:rPr>
        <w:t xml:space="preserve">2020 Well Being Measures </w:t>
      </w:r>
    </w:p>
    <w:p w:rsidR="003C5BB2" w:rsidRDefault="003C5BB2" w:rsidP="003C5BB2"/>
    <w:p w:rsidR="003C5BB2" w:rsidRDefault="003C5BB2" w:rsidP="003C5BB2">
      <w:r>
        <w:t>The 2020 well-being measures (and objectives) for “</w:t>
      </w:r>
      <w:r w:rsidR="002E5727">
        <w:t>Healthy Homes and Sustainable Communities</w:t>
      </w:r>
      <w:r>
        <w:t xml:space="preserve">” are listed below. </w:t>
      </w:r>
    </w:p>
    <w:p w:rsidR="003C5BB2" w:rsidRDefault="003C5BB2" w:rsidP="003C5BB2"/>
    <w:p w:rsidR="003C5BB2" w:rsidRDefault="003C5BB2" w:rsidP="003C5BB2">
      <w:pPr>
        <w:pStyle w:val="ListParagraph"/>
        <w:numPr>
          <w:ilvl w:val="0"/>
          <w:numId w:val="1"/>
        </w:numPr>
      </w:pPr>
      <w:r>
        <w:t>Increase the number</w:t>
      </w:r>
      <w:r w:rsidR="00F432FC">
        <w:t xml:space="preserve"> of</w:t>
      </w:r>
      <w:r>
        <w:t xml:space="preserve"> </w:t>
      </w:r>
      <w:r w:rsidR="00732D49">
        <w:t xml:space="preserve">homeowners in the community </w:t>
      </w:r>
      <w:r>
        <w:t xml:space="preserve"> </w:t>
      </w:r>
    </w:p>
    <w:p w:rsidR="00732D49" w:rsidRDefault="00732D49" w:rsidP="003C5BB2">
      <w:pPr>
        <w:pStyle w:val="ListParagraph"/>
        <w:numPr>
          <w:ilvl w:val="0"/>
          <w:numId w:val="1"/>
        </w:numPr>
      </w:pPr>
      <w:r>
        <w:t xml:space="preserve">Increase the number of affordable housing units in the community </w:t>
      </w:r>
    </w:p>
    <w:p w:rsidR="003C5BB2" w:rsidRDefault="003C5BB2" w:rsidP="003C5BB2"/>
    <w:p w:rsidR="003C5BB2" w:rsidRDefault="00216D27" w:rsidP="003C5BB2">
      <w:r>
        <w:t xml:space="preserve">Data on the first of these </w:t>
      </w:r>
      <w:r w:rsidR="002A4925">
        <w:t xml:space="preserve">two </w:t>
      </w:r>
      <w:r>
        <w:t xml:space="preserve">measures </w:t>
      </w:r>
      <w:r w:rsidR="004F0DFF">
        <w:t>i</w:t>
      </w:r>
      <w:r>
        <w:t>s included</w:t>
      </w:r>
      <w:r w:rsidR="00756273">
        <w:t xml:space="preserve"> (see Figure 3)</w:t>
      </w:r>
      <w:r>
        <w:t>, whereas the latter is currently unable to be obtained. This report contains housing and poverty data from the U.S. Census Bureau, with one item from the Buffalo County Behavioral Risk Factors Survey.</w:t>
      </w:r>
    </w:p>
    <w:p w:rsidR="003C5BB2" w:rsidRDefault="003C5BB2" w:rsidP="003C5BB2"/>
    <w:p w:rsidR="003C5BB2" w:rsidRDefault="003C5BB2" w:rsidP="003C5BB2"/>
    <w:p w:rsidR="003C5BB2" w:rsidRDefault="003C5BB2" w:rsidP="003C5BB2"/>
    <w:p w:rsidR="00E431C7" w:rsidRDefault="00E431C7">
      <w:pPr>
        <w:spacing w:after="160" w:line="259" w:lineRule="auto"/>
        <w:rPr>
          <w:sz w:val="40"/>
        </w:rPr>
      </w:pPr>
      <w:r>
        <w:rPr>
          <w:sz w:val="40"/>
        </w:rPr>
        <w:br w:type="page"/>
      </w:r>
    </w:p>
    <w:p w:rsidR="003C5BB2" w:rsidRPr="00B67CF3" w:rsidRDefault="00216D27" w:rsidP="00861998">
      <w:pPr>
        <w:pBdr>
          <w:left w:val="single" w:sz="4" w:space="4" w:color="auto"/>
          <w:bottom w:val="single" w:sz="4" w:space="1" w:color="auto"/>
        </w:pBdr>
        <w:shd w:val="clear" w:color="auto" w:fill="FFC000" w:themeFill="accent4"/>
        <w:jc w:val="center"/>
        <w:rPr>
          <w:sz w:val="40"/>
        </w:rPr>
      </w:pPr>
      <w:r>
        <w:rPr>
          <w:sz w:val="40"/>
        </w:rPr>
        <w:lastRenderedPageBreak/>
        <w:t>Housing</w:t>
      </w:r>
      <w:r w:rsidR="003C5BB2" w:rsidRPr="00B67CF3">
        <w:rPr>
          <w:sz w:val="40"/>
        </w:rPr>
        <w:t xml:space="preserve"> Data</w:t>
      </w:r>
    </w:p>
    <w:p w:rsidR="003C5BB2" w:rsidRDefault="003C5BB2" w:rsidP="003C5BB2">
      <w:pPr>
        <w:rPr>
          <w:b/>
        </w:rPr>
      </w:pPr>
    </w:p>
    <w:p w:rsidR="00FC0C28" w:rsidRPr="00FC0C28" w:rsidRDefault="00FC0C28" w:rsidP="003C5BB2">
      <w:r>
        <w:t xml:space="preserve">The total number of housing units in Buffalo County </w:t>
      </w:r>
      <w:r w:rsidR="00216D27">
        <w:t>has risen</w:t>
      </w:r>
      <w:r>
        <w:t xml:space="preserve"> steadily from 2000 to </w:t>
      </w:r>
      <w:r w:rsidR="00A10EB1">
        <w:t>2015</w:t>
      </w:r>
      <w:r>
        <w:t xml:space="preserve"> (</w:t>
      </w:r>
      <w:r w:rsidR="00216D27">
        <w:t>Figure 1</w:t>
      </w:r>
      <w:r>
        <w:t>).</w:t>
      </w:r>
    </w:p>
    <w:p w:rsidR="00732D49" w:rsidRDefault="00E513CB" w:rsidP="00732D49">
      <w:pPr>
        <w:jc w:val="center"/>
      </w:pPr>
      <w:r>
        <w:rPr>
          <w:noProof/>
        </w:rPr>
        <w:pict>
          <v:group id="Group 28" o:spid="_x0000_s1044" style="position:absolute;left:0;text-align:left;margin-left:127.55pt;margin-top:176.05pt;width:12pt;height:13.1pt;z-index:251666432" coordorigin="4722,5498" coordsize="24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">
            <v:shapetype id="_x0000_t32" coordsize="21600,21600" o:spt="32" o:oned="t" path="m,l21600,21600e" filled="f">
              <v:path arrowok="t" fillok="f" o:connecttype="none"/>
              <o:lock v:ext="edit" shapetype="t"/>
            </v:shapetype>
            <v:shape id="AutoShape 3" o:spid="_x0000_s1027" type="#_x0000_t32" style="position:absolute;left:4722;top:5498;width:151;height:2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shape id="AutoShape 4" o:spid="_x0000_s1028" type="#_x0000_t32" style="position:absolute;left:4811;top:5498;width:151;height:2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group>
        </w:pict>
      </w:r>
      <w:r w:rsidR="0083010F">
        <w:rPr>
          <w:noProof/>
        </w:rPr>
        <w:drawing>
          <wp:inline distT="0" distB="0" distL="0" distR="0" wp14:anchorId="1287EEFE" wp14:editId="03E83555">
            <wp:extent cx="5943600" cy="2743200"/>
            <wp:effectExtent l="0" t="0" r="0" b="0"/>
            <wp:docPr id="9" name="Chart 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32D49" w:rsidRDefault="00732D49" w:rsidP="0083010F">
      <w:pPr>
        <w:pBdr>
          <w:top w:val="single" w:sz="4" w:space="1" w:color="auto"/>
        </w:pBdr>
        <w:ind w:left="360" w:right="270"/>
        <w:jc w:val="right"/>
        <w:rPr>
          <w:sz w:val="18"/>
        </w:rPr>
      </w:pPr>
      <w:r w:rsidRPr="00CE5D13">
        <w:rPr>
          <w:sz w:val="18"/>
        </w:rPr>
        <w:t>(U.S. Census &amp; American Co</w:t>
      </w:r>
      <w:r w:rsidR="00136E37">
        <w:rPr>
          <w:sz w:val="18"/>
        </w:rPr>
        <w:t>mmunity Survey</w:t>
      </w:r>
      <w:r w:rsidRPr="00CE5D13">
        <w:rPr>
          <w:sz w:val="18"/>
        </w:rPr>
        <w:t>)</w:t>
      </w:r>
    </w:p>
    <w:p w:rsidR="00732D49" w:rsidRDefault="00732D49" w:rsidP="00732D49">
      <w:pPr>
        <w:ind w:right="540"/>
      </w:pPr>
    </w:p>
    <w:p w:rsidR="00FC0C28" w:rsidRDefault="00FC0C28" w:rsidP="00732D49">
      <w:pPr>
        <w:ind w:right="540"/>
      </w:pPr>
    </w:p>
    <w:p w:rsidR="00FC0C28" w:rsidRDefault="00FC0C28" w:rsidP="00FC0C28">
      <w:r>
        <w:t>According to the U.S. Census, the percent</w:t>
      </w:r>
      <w:r w:rsidR="00136E37">
        <w:t>age</w:t>
      </w:r>
      <w:r>
        <w:t xml:space="preserve"> of housing units</w:t>
      </w:r>
      <w:r w:rsidR="00895B13">
        <w:t xml:space="preserve"> that are</w:t>
      </w:r>
      <w:r>
        <w:t xml:space="preserve"> occupied in Buffalo County </w:t>
      </w:r>
      <w:r w:rsidR="00216D27">
        <w:t xml:space="preserve">was higher than the state in 2000 and has continued this trend from 2007 to </w:t>
      </w:r>
      <w:r w:rsidR="00862336">
        <w:t>2015</w:t>
      </w:r>
      <w:r w:rsidR="00136E37">
        <w:t>. As of 201</w:t>
      </w:r>
      <w:r w:rsidR="00862336">
        <w:t>5</w:t>
      </w:r>
      <w:r w:rsidR="00136E37">
        <w:t xml:space="preserve">, </w:t>
      </w:r>
      <w:r w:rsidR="00862336">
        <w:t xml:space="preserve">an estimated </w:t>
      </w:r>
      <w:r w:rsidR="00136E37">
        <w:t>9</w:t>
      </w:r>
      <w:r w:rsidR="00862336">
        <w:t>4.0</w:t>
      </w:r>
      <w:r w:rsidR="00136E37">
        <w:t>% of housing units in Buffalo County were estimated to be occupied (compared to 9</w:t>
      </w:r>
      <w:r w:rsidR="00862336">
        <w:t>1.0</w:t>
      </w:r>
      <w:r w:rsidR="00136E37">
        <w:t>% for the state)</w:t>
      </w:r>
      <w:r>
        <w:t xml:space="preserve"> (</w:t>
      </w:r>
      <w:r w:rsidR="00216D27">
        <w:t>Figure 2</w:t>
      </w:r>
      <w:r>
        <w:t>).</w:t>
      </w:r>
    </w:p>
    <w:p w:rsidR="00732D49" w:rsidRDefault="00E513CB" w:rsidP="00732D49">
      <w:pPr>
        <w:jc w:val="center"/>
      </w:pPr>
      <w:r>
        <w:rPr>
          <w:noProof/>
          <w:sz w:val="18"/>
        </w:rPr>
        <w:pict>
          <v:group id="Group 25" o:spid="_x0000_s1041" style="position:absolute;left:0;text-align:left;margin-left:128.3pt;margin-top:163.3pt;width:12pt;height:13.1pt;z-index:251667456" coordorigin="4722,5498" coordsize="24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">
            <v:shape id="AutoShape 6" o:spid="_x0000_s1043" type="#_x0000_t32" style="position:absolute;left:4722;top:5498;width:151;height:2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v:shape id="AutoShape 7" o:spid="_x0000_s1042" type="#_x0000_t32" style="position:absolute;left:4811;top:5498;width:151;height:2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on8MAAADbAAAADwAAAGRycy9kb3ducmV2LnhtbESPQYvCMBSE7wv+h/AEL8ua1sMqXaPI&#10;wsLiQVB78PhInm2xealJttZ/b4QFj8PMfMMs14NtRU8+NI4V5NMMBLF2puFKQXn8+ViACBHZYOuY&#10;FNwpwHo1eltiYdyN99QfYiUShEOBCuoYu0LKoGuyGKauI07e2XmLMUlfSePxluC2lbMs+5QWG04L&#10;NXb0XZO+HP6sgmZb7sr+/Rq9Xmzzk8/D8dRqpSbjYfMFItIQX+H/9q9RMJvD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aJ/DAAAA2wAAAA8AAAAAAAAAAAAA&#10;AAAAoQIAAGRycy9kb3ducmV2LnhtbFBLBQYAAAAABAAEAPkAAACRAwAAAAA=&#10;"/>
          </v:group>
        </w:pict>
      </w:r>
      <w:r w:rsidR="0083010F">
        <w:rPr>
          <w:noProof/>
        </w:rPr>
        <w:drawing>
          <wp:inline distT="0" distB="0" distL="0" distR="0" wp14:anchorId="3673FE6E" wp14:editId="1AF4A5EB">
            <wp:extent cx="5943600" cy="2743200"/>
            <wp:effectExtent l="0" t="0" r="0" b="0"/>
            <wp:docPr id="10" name="Chart 1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3010F" w:rsidRDefault="0083010F" w:rsidP="0083010F">
      <w:pPr>
        <w:pBdr>
          <w:top w:val="single" w:sz="4" w:space="1" w:color="auto"/>
        </w:pBdr>
        <w:ind w:left="360" w:right="270"/>
        <w:jc w:val="right"/>
        <w:rPr>
          <w:sz w:val="18"/>
        </w:rPr>
      </w:pPr>
      <w:r w:rsidRPr="00CE5D13">
        <w:rPr>
          <w:sz w:val="18"/>
        </w:rPr>
        <w:t>(U.S. Census &amp; American Co</w:t>
      </w:r>
      <w:r>
        <w:rPr>
          <w:sz w:val="18"/>
        </w:rPr>
        <w:t>mmunity Survey</w:t>
      </w:r>
      <w:r w:rsidRPr="00CE5D13">
        <w:rPr>
          <w:sz w:val="18"/>
        </w:rPr>
        <w:t>)</w:t>
      </w:r>
    </w:p>
    <w:p w:rsidR="00732D49" w:rsidRDefault="00732D49" w:rsidP="00732D49">
      <w:pPr>
        <w:ind w:right="540"/>
      </w:pPr>
    </w:p>
    <w:p w:rsidR="00732D49" w:rsidRDefault="00732D49" w:rsidP="00732D49">
      <w:pPr>
        <w:ind w:right="540"/>
      </w:pPr>
    </w:p>
    <w:p w:rsidR="00216D27" w:rsidRDefault="00216D27" w:rsidP="00732D49">
      <w:pPr>
        <w:ind w:right="540"/>
      </w:pPr>
    </w:p>
    <w:p w:rsidR="00216D27" w:rsidRDefault="00216D27" w:rsidP="00732D49">
      <w:pPr>
        <w:ind w:right="540"/>
      </w:pPr>
    </w:p>
    <w:p w:rsidR="00732D49" w:rsidRDefault="00FC0C28" w:rsidP="00732D49">
      <w:pPr>
        <w:ind w:right="540"/>
      </w:pPr>
      <w:r>
        <w:lastRenderedPageBreak/>
        <w:t xml:space="preserve">The total number of owner-occupied </w:t>
      </w:r>
      <w:r w:rsidR="00620155">
        <w:t>homes in Buffalo County declined</w:t>
      </w:r>
      <w:r>
        <w:t xml:space="preserve"> from 2007 to 2009 but </w:t>
      </w:r>
      <w:r w:rsidR="00136E37">
        <w:t xml:space="preserve">has been </w:t>
      </w:r>
      <w:r w:rsidR="00862336">
        <w:t xml:space="preserve">gradually </w:t>
      </w:r>
      <w:r w:rsidR="00136E37">
        <w:t xml:space="preserve">trending upwards since </w:t>
      </w:r>
      <w:r w:rsidR="00862336">
        <w:t>then to an estimated 11,617 owner-occupied homes in 2015</w:t>
      </w:r>
      <w:r w:rsidR="00756273">
        <w:t xml:space="preserve"> </w:t>
      </w:r>
      <w:r>
        <w:t>(</w:t>
      </w:r>
      <w:r w:rsidR="00216D27">
        <w:t>Figure</w:t>
      </w:r>
      <w:r>
        <w:t xml:space="preserve"> </w:t>
      </w:r>
      <w:r w:rsidR="00216D27">
        <w:t>3)</w:t>
      </w:r>
      <w:r>
        <w:t>.</w:t>
      </w:r>
    </w:p>
    <w:p w:rsidR="00732D49" w:rsidRDefault="0083010F" w:rsidP="00732D49">
      <w:pPr>
        <w:jc w:val="center"/>
      </w:pPr>
      <w:r>
        <w:rPr>
          <w:noProof/>
        </w:rPr>
        <w:drawing>
          <wp:inline distT="0" distB="0" distL="0" distR="0" wp14:anchorId="6025B90B" wp14:editId="2238BE6E">
            <wp:extent cx="5943600" cy="2743200"/>
            <wp:effectExtent l="0" t="0" r="0" b="0"/>
            <wp:docPr id="11" name="Chart 1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3010F" w:rsidRDefault="0083010F" w:rsidP="0083010F">
      <w:pPr>
        <w:pBdr>
          <w:top w:val="single" w:sz="4" w:space="1" w:color="auto"/>
        </w:pBdr>
        <w:ind w:left="360" w:right="270"/>
        <w:jc w:val="right"/>
        <w:rPr>
          <w:sz w:val="18"/>
        </w:rPr>
      </w:pPr>
      <w:r w:rsidRPr="00CE5D13">
        <w:rPr>
          <w:sz w:val="18"/>
        </w:rPr>
        <w:t>(U.S. Census &amp; American Co</w:t>
      </w:r>
      <w:r>
        <w:rPr>
          <w:sz w:val="18"/>
        </w:rPr>
        <w:t>mmunity Survey</w:t>
      </w:r>
      <w:r w:rsidRPr="00CE5D13">
        <w:rPr>
          <w:sz w:val="18"/>
        </w:rPr>
        <w:t>)</w:t>
      </w:r>
    </w:p>
    <w:p w:rsidR="00732D49" w:rsidRDefault="00732D49" w:rsidP="00732D49">
      <w:pPr>
        <w:ind w:right="540"/>
      </w:pPr>
    </w:p>
    <w:p w:rsidR="002A75DB" w:rsidRPr="00CE5D13" w:rsidRDefault="002A75DB" w:rsidP="00732D49">
      <w:pPr>
        <w:ind w:right="540"/>
      </w:pPr>
    </w:p>
    <w:p w:rsidR="00732D49" w:rsidRDefault="00620155" w:rsidP="00620155">
      <w:r>
        <w:t>Although the percent</w:t>
      </w:r>
      <w:r w:rsidR="00136E37">
        <w:t>age</w:t>
      </w:r>
      <w:r>
        <w:t xml:space="preserve"> of occupied housing units in Buffalo County </w:t>
      </w:r>
      <w:r w:rsidR="00136E37">
        <w:t>has been</w:t>
      </w:r>
      <w:r>
        <w:t xml:space="preserve"> consistently </w:t>
      </w:r>
      <w:r w:rsidR="001D003D">
        <w:t>higher than</w:t>
      </w:r>
      <w:r>
        <w:t xml:space="preserve"> the state (see </w:t>
      </w:r>
      <w:r w:rsidR="00216D27">
        <w:t>Figure 2</w:t>
      </w:r>
      <w:r>
        <w:t xml:space="preserve"> above), the percent</w:t>
      </w:r>
      <w:r w:rsidR="00756273">
        <w:t>age</w:t>
      </w:r>
      <w:r>
        <w:t xml:space="preserve"> of occupied housing units that are owner-occupied in Buffalo County </w:t>
      </w:r>
      <w:r w:rsidR="001D003D">
        <w:t>h</w:t>
      </w:r>
      <w:r>
        <w:t>as been consistently lower than the state</w:t>
      </w:r>
      <w:r w:rsidR="00895B13">
        <w:t>,</w:t>
      </w:r>
      <w:r w:rsidR="00216D27">
        <w:t xml:space="preserve"> </w:t>
      </w:r>
      <w:r w:rsidR="00895B13">
        <w:t>t</w:t>
      </w:r>
      <w:r w:rsidR="00216D27">
        <w:t>hus indicating that a higher percentage of Buffalo County residents are renters</w:t>
      </w:r>
      <w:r w:rsidR="00136E37">
        <w:t xml:space="preserve">. As of </w:t>
      </w:r>
      <w:r w:rsidR="00862336">
        <w:t>2015</w:t>
      </w:r>
      <w:r w:rsidR="00136E37">
        <w:t>,</w:t>
      </w:r>
      <w:r w:rsidR="00862336">
        <w:t xml:space="preserve"> an estimated</w:t>
      </w:r>
      <w:r w:rsidR="00136E37">
        <w:t xml:space="preserve"> </w:t>
      </w:r>
      <w:r w:rsidR="00862336">
        <w:t>63.3</w:t>
      </w:r>
      <w:r w:rsidR="00136E37">
        <w:t>% of occupied housing units in Buffalo County were occupied by owners (compared to 66.</w:t>
      </w:r>
      <w:r w:rsidR="00862336">
        <w:t>2</w:t>
      </w:r>
      <w:r w:rsidR="00136E37">
        <w:t xml:space="preserve">% for the state) </w:t>
      </w:r>
      <w:r>
        <w:t>(</w:t>
      </w:r>
      <w:r w:rsidR="00216D27">
        <w:t>Figure 4</w:t>
      </w:r>
      <w:r>
        <w:t>).</w:t>
      </w:r>
    </w:p>
    <w:p w:rsidR="00732D49" w:rsidRDefault="0083010F" w:rsidP="00732D49">
      <w:pPr>
        <w:jc w:val="center"/>
      </w:pPr>
      <w:r>
        <w:rPr>
          <w:noProof/>
        </w:rPr>
        <w:drawing>
          <wp:inline distT="0" distB="0" distL="0" distR="0" wp14:anchorId="1F24F51F" wp14:editId="67DC5A7C">
            <wp:extent cx="5943600" cy="2743200"/>
            <wp:effectExtent l="0" t="0" r="0" b="0"/>
            <wp:docPr id="1" name="Chart 1">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3010F" w:rsidRDefault="0083010F" w:rsidP="0083010F">
      <w:pPr>
        <w:pBdr>
          <w:top w:val="single" w:sz="4" w:space="1" w:color="auto"/>
        </w:pBdr>
        <w:ind w:left="360" w:right="270"/>
        <w:jc w:val="right"/>
        <w:rPr>
          <w:sz w:val="18"/>
        </w:rPr>
      </w:pPr>
      <w:r w:rsidRPr="00CE5D13">
        <w:rPr>
          <w:sz w:val="18"/>
        </w:rPr>
        <w:t>(U.S. Census &amp; American Co</w:t>
      </w:r>
      <w:r>
        <w:rPr>
          <w:sz w:val="18"/>
        </w:rPr>
        <w:t>mmunity Survey</w:t>
      </w:r>
      <w:r w:rsidRPr="00CE5D13">
        <w:rPr>
          <w:sz w:val="18"/>
        </w:rPr>
        <w:t>)</w:t>
      </w:r>
    </w:p>
    <w:p w:rsidR="002A75DB" w:rsidRDefault="002A75DB">
      <w:pPr>
        <w:spacing w:after="160" w:line="259" w:lineRule="auto"/>
      </w:pPr>
      <w:r>
        <w:br w:type="page"/>
      </w:r>
    </w:p>
    <w:p w:rsidR="00620155" w:rsidRDefault="00862336" w:rsidP="00620155">
      <w:r>
        <w:lastRenderedPageBreak/>
        <w:t>T</w:t>
      </w:r>
      <w:r w:rsidR="00895B13">
        <w:t>he</w:t>
      </w:r>
      <w:r w:rsidR="00620155">
        <w:t xml:space="preserve"> median housing value has risen steadily</w:t>
      </w:r>
      <w:r w:rsidR="001E210D">
        <w:t xml:space="preserve"> for both Buffalo County and the entire state</w:t>
      </w:r>
      <w:r w:rsidR="00620155">
        <w:t xml:space="preserve"> from 2000 to </w:t>
      </w:r>
      <w:r>
        <w:t>2015.</w:t>
      </w:r>
      <w:r w:rsidR="00620155">
        <w:t xml:space="preserve"> </w:t>
      </w:r>
      <w:r>
        <w:t>T</w:t>
      </w:r>
      <w:r w:rsidR="00620155">
        <w:t xml:space="preserve">he median housing value in Buffalo County has been consistently higher than </w:t>
      </w:r>
      <w:r w:rsidR="001E210D">
        <w:t xml:space="preserve">in the </w:t>
      </w:r>
      <w:proofErr w:type="gramStart"/>
      <w:r w:rsidR="00620155">
        <w:t>state</w:t>
      </w:r>
      <w:r w:rsidR="001E210D">
        <w:t xml:space="preserve"> as a whole</w:t>
      </w:r>
      <w:proofErr w:type="gramEnd"/>
      <w:r w:rsidR="00620155">
        <w:t xml:space="preserve">. There </w:t>
      </w:r>
      <w:r w:rsidR="00136E37">
        <w:t xml:space="preserve">has been a </w:t>
      </w:r>
      <w:r w:rsidR="00B071EC">
        <w:t>considerable</w:t>
      </w:r>
      <w:r w:rsidR="00136E37">
        <w:t xml:space="preserve"> increase in median housing value in Buffalo County in </w:t>
      </w:r>
      <w:r>
        <w:t xml:space="preserve">more </w:t>
      </w:r>
      <w:r w:rsidR="00136E37">
        <w:t>recent years</w:t>
      </w:r>
      <w:r w:rsidR="00AE375C">
        <w:t xml:space="preserve">. As of </w:t>
      </w:r>
      <w:r>
        <w:t>2015</w:t>
      </w:r>
      <w:r w:rsidR="00AE375C">
        <w:t>, the</w:t>
      </w:r>
      <w:r>
        <w:t xml:space="preserve"> estimated</w:t>
      </w:r>
      <w:r w:rsidR="00AE375C">
        <w:t xml:space="preserve"> median housing value in Buffalo County was $</w:t>
      </w:r>
      <w:r>
        <w:t>151</w:t>
      </w:r>
      <w:r w:rsidR="00AE375C">
        <w:t>,</w:t>
      </w:r>
      <w:r>
        <w:t>3</w:t>
      </w:r>
      <w:r w:rsidR="00AE375C">
        <w:t>00 (compared to $</w:t>
      </w:r>
      <w:r>
        <w:t>133</w:t>
      </w:r>
      <w:r w:rsidR="00AE375C">
        <w:t>,</w:t>
      </w:r>
      <w:r>
        <w:t>2</w:t>
      </w:r>
      <w:r w:rsidR="00AE375C">
        <w:t>00 for the state)</w:t>
      </w:r>
      <w:r w:rsidR="00620155">
        <w:t xml:space="preserve"> (</w:t>
      </w:r>
      <w:r w:rsidR="00216D27">
        <w:t>Figure 5)</w:t>
      </w:r>
      <w:r w:rsidR="00620155">
        <w:t>.</w:t>
      </w:r>
    </w:p>
    <w:p w:rsidR="00732D49" w:rsidRDefault="00E513CB" w:rsidP="00732D49">
      <w:pPr>
        <w:jc w:val="center"/>
      </w:pPr>
      <w:r>
        <w:rPr>
          <w:noProof/>
        </w:rPr>
        <w:pict>
          <v:group id="Group 21" o:spid="_x0000_s1038" style="position:absolute;left:0;text-align:left;margin-left:123.8pt;margin-top:165.6pt;width:12pt;height:13.1pt;z-index:251668480" coordorigin="4722,5498" coordsize="24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">
            <v:shape id="AutoShape 9" o:spid="_x0000_s1040" type="#_x0000_t32" style="position:absolute;left:4722;top:5498;width:151;height:2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v:shape id="AutoShape 10" o:spid="_x0000_s1039" type="#_x0000_t32" style="position:absolute;left:4811;top:5498;width:151;height:2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group>
        </w:pict>
      </w:r>
      <w:r w:rsidR="0083010F">
        <w:rPr>
          <w:noProof/>
        </w:rPr>
        <w:drawing>
          <wp:inline distT="0" distB="0" distL="0" distR="0" wp14:anchorId="6344BD1E" wp14:editId="5F180808">
            <wp:extent cx="5943600" cy="2743200"/>
            <wp:effectExtent l="0" t="0" r="0" b="0"/>
            <wp:docPr id="12" name="Chart 12">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3010F" w:rsidRDefault="0083010F" w:rsidP="0083010F">
      <w:pPr>
        <w:pBdr>
          <w:top w:val="single" w:sz="4" w:space="1" w:color="auto"/>
        </w:pBdr>
        <w:ind w:left="360" w:right="270"/>
        <w:jc w:val="right"/>
        <w:rPr>
          <w:sz w:val="18"/>
        </w:rPr>
      </w:pPr>
      <w:r w:rsidRPr="00CE5D13">
        <w:rPr>
          <w:sz w:val="18"/>
        </w:rPr>
        <w:t>(U.S. Census &amp; American Co</w:t>
      </w:r>
      <w:r>
        <w:rPr>
          <w:sz w:val="18"/>
        </w:rPr>
        <w:t>mmunity Survey</w:t>
      </w:r>
      <w:r w:rsidRPr="00CE5D13">
        <w:rPr>
          <w:sz w:val="18"/>
        </w:rPr>
        <w:t>)</w:t>
      </w:r>
    </w:p>
    <w:p w:rsidR="002A75DB" w:rsidRDefault="002A75DB" w:rsidP="002A75DB">
      <w:pPr>
        <w:ind w:right="540"/>
      </w:pPr>
    </w:p>
    <w:p w:rsidR="00216D27" w:rsidRDefault="00216D27" w:rsidP="002A75DB">
      <w:pPr>
        <w:ind w:right="540"/>
      </w:pPr>
    </w:p>
    <w:p w:rsidR="001E210D" w:rsidRDefault="001E210D" w:rsidP="002A75DB">
      <w:pPr>
        <w:ind w:right="540"/>
      </w:pPr>
      <w:r>
        <w:t xml:space="preserve">Although the median housing value in Buffalo County has been consistently higher than the </w:t>
      </w:r>
      <w:proofErr w:type="gramStart"/>
      <w:r>
        <w:t>state as a whol</w:t>
      </w:r>
      <w:proofErr w:type="gramEnd"/>
      <w:r>
        <w:t xml:space="preserve">e (see </w:t>
      </w:r>
      <w:r w:rsidR="00216D27">
        <w:t>Figure 5</w:t>
      </w:r>
      <w:r>
        <w:t xml:space="preserve"> above), the average monthly cost of owning a home has </w:t>
      </w:r>
      <w:r w:rsidR="00B071EC">
        <w:t xml:space="preserve">been </w:t>
      </w:r>
      <w:r w:rsidR="00AE375C">
        <w:t>largely comparable between Buffalo County and Nebraska</w:t>
      </w:r>
      <w:r>
        <w:t xml:space="preserve"> (</w:t>
      </w:r>
      <w:r w:rsidR="00216D27">
        <w:t>Figure 6</w:t>
      </w:r>
      <w:r>
        <w:t>).</w:t>
      </w:r>
    </w:p>
    <w:p w:rsidR="00732D49" w:rsidRDefault="00E513CB" w:rsidP="00732D49">
      <w:pPr>
        <w:jc w:val="center"/>
      </w:pPr>
      <w:r>
        <w:rPr>
          <w:noProof/>
        </w:rPr>
        <w:pict>
          <v:group id="Group 18" o:spid="_x0000_s1035" style="position:absolute;left:0;text-align:left;margin-left:129.65pt;margin-top:160.5pt;width:12pt;height:13.1pt;z-index:251669504" coordorigin="4722,5498" coordsize="24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">
            <v:shape id="AutoShape 12" o:spid="_x0000_s1037" type="#_x0000_t32" style="position:absolute;left:4722;top:5498;width:151;height:2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shape id="AutoShape 13" o:spid="_x0000_s1036" type="#_x0000_t32" style="position:absolute;left:4811;top:5498;width:151;height:2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w68EAAADbAAAADwAAAGRycy9kb3ducmV2LnhtbERPPWvDMBDdC/0P4gpdSiPbQzFulBAK&#10;hZChUNuDx0O62CbWyZEUx/331VDo+Hjf2/1qJ7GQD6NjBfkmA0GsnRm5V9A2n68liBCRDU6OScEP&#10;BdjvHh+2WBl3529a6tiLFMKhQgVDjHMlZdADWQwbNxMn7uy8xZig76XxeE/hdpJFlr1JiyOnhgFn&#10;+hhIX+qbVTCe2q92eblGr8tT3vk8NN2klXp+Wg/vICKt8V/85z4aBUVan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fDrwQAAANsAAAAPAAAAAAAAAAAAAAAA&#10;AKECAABkcnMvZG93bnJldi54bWxQSwUGAAAAAAQABAD5AAAAjwMAAAAA&#10;"/>
          </v:group>
        </w:pict>
      </w:r>
      <w:r w:rsidR="0083010F">
        <w:rPr>
          <w:noProof/>
        </w:rPr>
        <w:drawing>
          <wp:inline distT="0" distB="0" distL="0" distR="0" wp14:anchorId="54166286" wp14:editId="79CE9B2C">
            <wp:extent cx="5943600" cy="2743200"/>
            <wp:effectExtent l="0" t="0" r="0" b="0"/>
            <wp:docPr id="13" name="Chart 13">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3010F" w:rsidRDefault="0083010F" w:rsidP="0083010F">
      <w:pPr>
        <w:pBdr>
          <w:top w:val="single" w:sz="4" w:space="1" w:color="auto"/>
        </w:pBdr>
        <w:ind w:left="360" w:right="270"/>
        <w:jc w:val="right"/>
        <w:rPr>
          <w:sz w:val="18"/>
        </w:rPr>
      </w:pPr>
      <w:r w:rsidRPr="00CE5D13">
        <w:rPr>
          <w:sz w:val="18"/>
        </w:rPr>
        <w:t>(U.S. Census &amp; American Co</w:t>
      </w:r>
      <w:r>
        <w:rPr>
          <w:sz w:val="18"/>
        </w:rPr>
        <w:t>mmunity Survey</w:t>
      </w:r>
      <w:r w:rsidRPr="00CE5D13">
        <w:rPr>
          <w:sz w:val="18"/>
        </w:rPr>
        <w:t>)</w:t>
      </w:r>
    </w:p>
    <w:p w:rsidR="00732D49" w:rsidRDefault="00732D49" w:rsidP="00732D49">
      <w:pPr>
        <w:ind w:right="540"/>
      </w:pPr>
    </w:p>
    <w:p w:rsidR="002A75DB" w:rsidRDefault="002A75DB">
      <w:pPr>
        <w:spacing w:after="160" w:line="259" w:lineRule="auto"/>
      </w:pPr>
      <w:r>
        <w:br w:type="page"/>
      </w:r>
    </w:p>
    <w:p w:rsidR="00732D49" w:rsidRPr="00CE5D13" w:rsidRDefault="001E210D" w:rsidP="00732D49">
      <w:pPr>
        <w:ind w:right="540"/>
      </w:pPr>
      <w:r>
        <w:lastRenderedPageBreak/>
        <w:t xml:space="preserve">The median cost of rent in Buffalo County </w:t>
      </w:r>
      <w:r w:rsidR="00862336">
        <w:t>is comparable to the state</w:t>
      </w:r>
      <w:r w:rsidR="00AE375C">
        <w:t xml:space="preserve">. As of </w:t>
      </w:r>
      <w:r w:rsidR="00862336">
        <w:t>2015</w:t>
      </w:r>
      <w:r w:rsidR="00AE375C">
        <w:t xml:space="preserve">, the U.S. Census estimates the median cost of rent </w:t>
      </w:r>
      <w:r w:rsidR="00B071EC">
        <w:t>i</w:t>
      </w:r>
      <w:r w:rsidR="00AE375C">
        <w:t xml:space="preserve">n Buffalo </w:t>
      </w:r>
      <w:r w:rsidR="00756273">
        <w:t>County to be $</w:t>
      </w:r>
      <w:r w:rsidR="00862336">
        <w:t>722</w:t>
      </w:r>
      <w:r w:rsidR="00756273">
        <w:t xml:space="preserve"> (compared to </w:t>
      </w:r>
      <w:r w:rsidR="00AE375C">
        <w:t>$</w:t>
      </w:r>
      <w:r w:rsidR="00862336">
        <w:t>726</w:t>
      </w:r>
      <w:r w:rsidR="00AE375C">
        <w:t xml:space="preserve"> for the state)</w:t>
      </w:r>
      <w:r>
        <w:t xml:space="preserve"> (</w:t>
      </w:r>
      <w:r w:rsidR="00216D27">
        <w:t>Figure 7</w:t>
      </w:r>
      <w:r>
        <w:t>).</w:t>
      </w:r>
    </w:p>
    <w:p w:rsidR="00732D49" w:rsidRDefault="00E513CB" w:rsidP="00732D49">
      <w:pPr>
        <w:jc w:val="center"/>
      </w:pPr>
      <w:r>
        <w:rPr>
          <w:noProof/>
        </w:rPr>
        <w:pict>
          <v:group id="Group 6" o:spid="_x0000_s1032" style="position:absolute;left:0;text-align:left;margin-left:126.05pt;margin-top:160.5pt;width:12pt;height:13.1pt;z-index:251670528" coordorigin="4722,5498" coordsize="24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">
            <v:shape id="AutoShape 15" o:spid="_x0000_s1034" type="#_x0000_t32" style="position:absolute;left:4722;top:5498;width:151;height:2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MJ8AAAADaAAAADwAAAGRycy9kb3ducmV2LnhtbERPPWvDMBDdC/kP4gJdSiI7QwlOlFAK&#10;geIhUNtDxkO62KbWyZUU2/331VDo+Hjfx/NiBzGRD71jBfk2A0Gsnem5VdDUl80eRIjIBgfHpOCH&#10;ApxPq6cjFsbN/ElTFVuRQjgUqKCLcSykDLoji2HrRuLE3Z23GBP0rTQe5xRuB7nLsldpsefU0OFI&#10;7x3pr+phFfRlc22ml+/o9b7Mbz4P9W3QSj2vl7cDiEhL/Bf/uT+MgrQ1XUk3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QDCfAAAAA2gAAAA8AAAAAAAAAAAAAAAAA&#10;oQIAAGRycy9kb3ducmV2LnhtbFBLBQYAAAAABAAEAPkAAACOAwAAAAA=&#10;"/>
            <v:shape id="AutoShape 16" o:spid="_x0000_s1033" type="#_x0000_t32" style="position:absolute;left:4811;top:5498;width:151;height:2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group>
        </w:pict>
      </w:r>
      <w:r w:rsidR="0083010F">
        <w:rPr>
          <w:noProof/>
        </w:rPr>
        <w:drawing>
          <wp:inline distT="0" distB="0" distL="0" distR="0" wp14:anchorId="6E27E013" wp14:editId="0ACC1BE3">
            <wp:extent cx="5943600" cy="2743200"/>
            <wp:effectExtent l="0" t="0" r="0" b="0"/>
            <wp:docPr id="14" name="Chart 14">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3010F" w:rsidRDefault="0083010F" w:rsidP="0083010F">
      <w:pPr>
        <w:pBdr>
          <w:top w:val="single" w:sz="4" w:space="1" w:color="auto"/>
        </w:pBdr>
        <w:ind w:left="360" w:right="270"/>
        <w:jc w:val="right"/>
        <w:rPr>
          <w:sz w:val="18"/>
        </w:rPr>
      </w:pPr>
      <w:r w:rsidRPr="00CE5D13">
        <w:rPr>
          <w:sz w:val="18"/>
        </w:rPr>
        <w:t>(U.S. Census &amp; American Co</w:t>
      </w:r>
      <w:r>
        <w:rPr>
          <w:sz w:val="18"/>
        </w:rPr>
        <w:t>mmunity Survey</w:t>
      </w:r>
      <w:r w:rsidRPr="00CE5D13">
        <w:rPr>
          <w:sz w:val="18"/>
        </w:rPr>
        <w:t>)</w:t>
      </w:r>
    </w:p>
    <w:p w:rsidR="00732D49" w:rsidRDefault="00732D49" w:rsidP="00732D49">
      <w:pPr>
        <w:jc w:val="center"/>
      </w:pPr>
    </w:p>
    <w:p w:rsidR="00216D27" w:rsidRDefault="00216D27" w:rsidP="00732D49">
      <w:pPr>
        <w:jc w:val="center"/>
      </w:pPr>
    </w:p>
    <w:p w:rsidR="001E210D" w:rsidRDefault="00216D27" w:rsidP="001E210D">
      <w:r>
        <w:t xml:space="preserve">In Buffalo County, </w:t>
      </w:r>
      <w:r w:rsidR="00862336">
        <w:t>an estimated 17.1</w:t>
      </w:r>
      <w:r>
        <w:t>% of all housing units have been built after 200</w:t>
      </w:r>
      <w:r w:rsidR="00AE375C">
        <w:t>0</w:t>
      </w:r>
      <w:r>
        <w:t xml:space="preserve">, compared to </w:t>
      </w:r>
      <w:r w:rsidR="00862336">
        <w:t>14.2</w:t>
      </w:r>
      <w:r>
        <w:t>% for the state, indicating moderate growth in new development in Buffalo County (Figure 8).</w:t>
      </w:r>
    </w:p>
    <w:p w:rsidR="00732D49" w:rsidRDefault="0083010F" w:rsidP="00732D49">
      <w:pPr>
        <w:jc w:val="center"/>
      </w:pPr>
      <w:r>
        <w:rPr>
          <w:noProof/>
        </w:rPr>
        <w:drawing>
          <wp:inline distT="0" distB="0" distL="0" distR="0" wp14:anchorId="440381C4" wp14:editId="55960E2C">
            <wp:extent cx="4533900" cy="2743200"/>
            <wp:effectExtent l="0" t="0" r="0" b="0"/>
            <wp:docPr id="15" name="Chart 15">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32D49" w:rsidRDefault="00732D49" w:rsidP="00AE375C">
      <w:pPr>
        <w:pBdr>
          <w:top w:val="single" w:sz="4" w:space="1" w:color="auto"/>
        </w:pBdr>
        <w:ind w:left="1440" w:right="1350"/>
        <w:jc w:val="right"/>
        <w:rPr>
          <w:sz w:val="18"/>
        </w:rPr>
      </w:pPr>
      <w:r w:rsidRPr="00CE5D13">
        <w:rPr>
          <w:sz w:val="18"/>
        </w:rPr>
        <w:t>(U.S. Census &amp; American Com</w:t>
      </w:r>
      <w:r w:rsidR="00136E37">
        <w:rPr>
          <w:sz w:val="18"/>
        </w:rPr>
        <w:t>munity Survey 3 Year Estimates</w:t>
      </w:r>
      <w:r w:rsidRPr="00CE5D13">
        <w:rPr>
          <w:sz w:val="18"/>
        </w:rPr>
        <w:t>)</w:t>
      </w:r>
    </w:p>
    <w:p w:rsidR="00732D49" w:rsidRDefault="00732D49" w:rsidP="00732D49">
      <w:pPr>
        <w:ind w:right="540"/>
      </w:pPr>
    </w:p>
    <w:p w:rsidR="00732D49" w:rsidRPr="00CE5D13" w:rsidRDefault="00732D49" w:rsidP="00732D49">
      <w:pPr>
        <w:ind w:right="540"/>
      </w:pPr>
    </w:p>
    <w:p w:rsidR="00732D49" w:rsidRDefault="00732D49" w:rsidP="00732D49">
      <w:pPr>
        <w:jc w:val="center"/>
      </w:pPr>
      <w:r>
        <w:br w:type="page"/>
      </w:r>
    </w:p>
    <w:p w:rsidR="00732D49" w:rsidRPr="00D04C7E" w:rsidRDefault="00732D49" w:rsidP="00D04C7E">
      <w:pPr>
        <w:pBdr>
          <w:left w:val="single" w:sz="4" w:space="4" w:color="auto"/>
          <w:bottom w:val="single" w:sz="4" w:space="1" w:color="auto"/>
        </w:pBdr>
        <w:shd w:val="clear" w:color="auto" w:fill="FFC000" w:themeFill="accent4"/>
        <w:jc w:val="center"/>
        <w:rPr>
          <w:sz w:val="40"/>
        </w:rPr>
      </w:pPr>
      <w:r w:rsidRPr="00D04C7E">
        <w:rPr>
          <w:sz w:val="40"/>
        </w:rPr>
        <w:lastRenderedPageBreak/>
        <w:t>Poverty Data</w:t>
      </w:r>
    </w:p>
    <w:p w:rsidR="00732D49" w:rsidRDefault="00732D49" w:rsidP="00732D49"/>
    <w:p w:rsidR="00D922AD" w:rsidRDefault="00D922AD" w:rsidP="00732D49">
      <w:r>
        <w:t>The percent</w:t>
      </w:r>
      <w:r w:rsidR="00756273">
        <w:t>age</w:t>
      </w:r>
      <w:r>
        <w:t xml:space="preserve"> of the population in poverty in Buffalo County has </w:t>
      </w:r>
      <w:r w:rsidR="00862336">
        <w:t>a</w:t>
      </w:r>
      <w:r w:rsidR="00A90055">
        <w:t xml:space="preserve"> slight</w:t>
      </w:r>
      <w:r w:rsidR="00862336">
        <w:t xml:space="preserve"> </w:t>
      </w:r>
      <w:r w:rsidR="00AE375C">
        <w:t xml:space="preserve">declining </w:t>
      </w:r>
      <w:r w:rsidR="00862336">
        <w:t xml:space="preserve">trend </w:t>
      </w:r>
      <w:r w:rsidR="00AE375C">
        <w:t xml:space="preserve">since 2009 according to Census estimates, </w:t>
      </w:r>
      <w:r>
        <w:t xml:space="preserve">while poverty in the state continues to </w:t>
      </w:r>
      <w:r w:rsidR="00862336">
        <w:t>trend slightly upward overall</w:t>
      </w:r>
      <w:r w:rsidR="00AE375C">
        <w:t xml:space="preserve">. As of </w:t>
      </w:r>
      <w:r w:rsidR="00862336">
        <w:t>2015</w:t>
      </w:r>
      <w:r w:rsidR="00AE375C">
        <w:t xml:space="preserve">, </w:t>
      </w:r>
      <w:r w:rsidR="00862336">
        <w:t>13.1</w:t>
      </w:r>
      <w:r w:rsidR="00AE375C">
        <w:t xml:space="preserve">% of the population in Buffalo County was in poverty (compared to </w:t>
      </w:r>
      <w:r w:rsidR="00862336">
        <w:t>12.7</w:t>
      </w:r>
      <w:r w:rsidR="00AE375C">
        <w:t>% for the state)</w:t>
      </w:r>
      <w:r>
        <w:t xml:space="preserve"> (</w:t>
      </w:r>
      <w:r w:rsidR="00D04C7E">
        <w:t>Figure 9</w:t>
      </w:r>
      <w:r>
        <w:t>).</w:t>
      </w:r>
    </w:p>
    <w:p w:rsidR="00732D49" w:rsidRPr="006A4A1C" w:rsidRDefault="00E513CB" w:rsidP="00732D49">
      <w:pPr>
        <w:jc w:val="center"/>
      </w:pPr>
      <w:r>
        <w:rPr>
          <w:b/>
          <w:noProof/>
        </w:rPr>
        <w:pict>
          <v:group id="Group 1" o:spid="_x0000_s1029" style="position:absolute;left:0;text-align:left;margin-left:128.1pt;margin-top:162.2pt;width:12pt;height:13.1pt;z-index:251671552" coordorigin="4722,5498" coordsize="24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">
            <v:shape id="AutoShape 18" o:spid="_x0000_s1031" type="#_x0000_t32" style="position:absolute;left:4722;top:5498;width:151;height:2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0GIsIAAADaAAAADwAAAGRycy9kb3ducmV2LnhtbESPQYvCMBSE7wv+h/CEvSyaVmS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0GIsIAAADaAAAADwAAAAAAAAAAAAAA&#10;AAChAgAAZHJzL2Rvd25yZXYueG1sUEsFBgAAAAAEAAQA+QAAAJADAAAAAA==&#10;"/>
            <v:shape id="AutoShape 19" o:spid="_x0000_s1030" type="#_x0000_t32" style="position:absolute;left:4811;top:5498;width:151;height:2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jucIAAADaAAAADwAAAGRycy9kb3ducmV2LnhtbESPQYvCMBSE7wv+h/CEvSyaVnC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GjucIAAADaAAAADwAAAAAAAAAAAAAA&#10;AAChAgAAZHJzL2Rvd25yZXYueG1sUEsFBgAAAAAEAAQA+QAAAJADAAAAAA==&#10;"/>
          </v:group>
        </w:pict>
      </w:r>
      <w:r w:rsidR="0083010F">
        <w:rPr>
          <w:noProof/>
        </w:rPr>
        <w:drawing>
          <wp:inline distT="0" distB="0" distL="0" distR="0" wp14:anchorId="35984F2D" wp14:editId="2F225441">
            <wp:extent cx="5943600" cy="2743200"/>
            <wp:effectExtent l="0" t="0" r="0" b="0"/>
            <wp:docPr id="16" name="Chart 16">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3010F" w:rsidRDefault="0083010F" w:rsidP="0083010F">
      <w:pPr>
        <w:pBdr>
          <w:top w:val="single" w:sz="4" w:space="1" w:color="auto"/>
        </w:pBdr>
        <w:ind w:left="360" w:right="270"/>
        <w:jc w:val="right"/>
        <w:rPr>
          <w:sz w:val="18"/>
        </w:rPr>
      </w:pPr>
      <w:r w:rsidRPr="00CE5D13">
        <w:rPr>
          <w:sz w:val="18"/>
        </w:rPr>
        <w:t>(U.S. Census &amp; American Co</w:t>
      </w:r>
      <w:r>
        <w:rPr>
          <w:sz w:val="18"/>
        </w:rPr>
        <w:t>mmunity Survey</w:t>
      </w:r>
      <w:r w:rsidRPr="00CE5D13">
        <w:rPr>
          <w:sz w:val="18"/>
        </w:rPr>
        <w:t>)</w:t>
      </w:r>
    </w:p>
    <w:p w:rsidR="00D922AD" w:rsidRDefault="00D922AD" w:rsidP="00732D49"/>
    <w:p w:rsidR="00E431C7" w:rsidRPr="00862336" w:rsidRDefault="00E431C7" w:rsidP="00732D49">
      <w:pPr>
        <w:rPr>
          <w:sz w:val="18"/>
        </w:rPr>
      </w:pPr>
    </w:p>
    <w:p w:rsidR="00D922AD" w:rsidRDefault="00AE375C" w:rsidP="00732D49">
      <w:r>
        <w:t xml:space="preserve">In the </w:t>
      </w:r>
      <w:r w:rsidR="00862336">
        <w:t>2016</w:t>
      </w:r>
      <w:r>
        <w:t xml:space="preserve"> Behavioral Risk Factors Survey, </w:t>
      </w:r>
      <w:r w:rsidR="00862336">
        <w:t>21.2</w:t>
      </w:r>
      <w:r>
        <w:t>% of Buffalo County respondents reported that they</w:t>
      </w:r>
      <w:r w:rsidR="00B071EC">
        <w:t xml:space="preserve"> were</w:t>
      </w:r>
      <w:r>
        <w:t xml:space="preserve"> always, usually, or sometimes worried about having enough mon</w:t>
      </w:r>
      <w:bookmarkStart w:id="0" w:name="_GoBack"/>
      <w:bookmarkEnd w:id="0"/>
      <w:r>
        <w:t>ey to pay their rent or mortgage</w:t>
      </w:r>
      <w:r w:rsidR="00D04C7E">
        <w:t xml:space="preserve"> (</w:t>
      </w:r>
      <w:r>
        <w:t>Figure 10</w:t>
      </w:r>
      <w:r w:rsidR="00D67F48">
        <w:t>).</w:t>
      </w:r>
    </w:p>
    <w:p w:rsidR="00E431C7" w:rsidRDefault="00A90055" w:rsidP="00E431C7">
      <w:pPr>
        <w:jc w:val="center"/>
        <w:rPr>
          <w:sz w:val="18"/>
        </w:rPr>
      </w:pPr>
      <w:r>
        <w:rPr>
          <w:b/>
          <w:noProof/>
        </w:rPr>
        <w:pict>
          <v:group id="_x0000_s1045" style="position:absolute;left:0;text-align:left;margin-left:286.35pt;margin-top:148.75pt;width:12pt;height:13.1pt;z-index:251672576" coordorigin="4722,5498" coordsize="24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">
            <v:shape id="AutoShape 18" o:spid="_x0000_s1046" type="#_x0000_t32" style="position:absolute;left:4722;top:5498;width:151;height:2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0GIsIAAADaAAAADwAAAGRycy9kb3ducmV2LnhtbESPQYvCMBSE7wv+h/CEvSyaVmS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0GIsIAAADaAAAADwAAAAAAAAAAAAAA&#10;AAChAgAAZHJzL2Rvd25yZXYueG1sUEsFBgAAAAAEAAQA+QAAAJADAAAAAA==&#10;"/>
            <v:shape id="AutoShape 19" o:spid="_x0000_s1047" type="#_x0000_t32" style="position:absolute;left:4811;top:5498;width:151;height:2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jucIAAADaAAAADwAAAGRycy9kb3ducmV2LnhtbESPQYvCMBSE7wv+h/CEvSyaVnC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GjucIAAADaAAAADwAAAAAAAAAAAAAA&#10;AAChAgAAZHJzL2Rvd25yZXYueG1sUEsFBgAAAAAEAAQA+QAAAJADAAAAAA==&#10;"/>
          </v:group>
        </w:pict>
      </w:r>
      <w:r w:rsidR="0083010F">
        <w:rPr>
          <w:noProof/>
        </w:rPr>
        <w:drawing>
          <wp:inline distT="0" distB="0" distL="0" distR="0" wp14:anchorId="0F5CE40B" wp14:editId="79A52B25">
            <wp:extent cx="5486400" cy="2743200"/>
            <wp:effectExtent l="0" t="0" r="0" b="0"/>
            <wp:docPr id="21" name="Chart 21">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36E37" w:rsidRDefault="00136E37" w:rsidP="0083010F">
      <w:pPr>
        <w:pBdr>
          <w:top w:val="single" w:sz="4" w:space="1" w:color="auto"/>
        </w:pBdr>
        <w:ind w:left="720" w:right="630"/>
        <w:rPr>
          <w:sz w:val="18"/>
        </w:rPr>
      </w:pPr>
      <w:r w:rsidRPr="00136E37">
        <w:rPr>
          <w:sz w:val="18"/>
        </w:rPr>
        <w:t>*Those reporting that they were always, usually, or sometimes worried or stressed about having enou</w:t>
      </w:r>
      <w:r>
        <w:rPr>
          <w:sz w:val="18"/>
        </w:rPr>
        <w:t>gh money to pa</w:t>
      </w:r>
      <w:r w:rsidRPr="00136E37">
        <w:rPr>
          <w:sz w:val="18"/>
        </w:rPr>
        <w:t>y their rent or mortgage.</w:t>
      </w:r>
    </w:p>
    <w:p w:rsidR="00AE27F5" w:rsidRDefault="00AE27F5" w:rsidP="0083010F">
      <w:pPr>
        <w:ind w:left="720" w:right="630"/>
        <w:rPr>
          <w:sz w:val="18"/>
        </w:rPr>
      </w:pPr>
      <w:r>
        <w:rPr>
          <w:sz w:val="18"/>
        </w:rPr>
        <w:t>°Includes Buffalo, Dawson, Gosper, Phelps, Kearney, Harlan, and Franklin Counties.</w:t>
      </w:r>
    </w:p>
    <w:p w:rsidR="003C5BB2" w:rsidRDefault="00732D49" w:rsidP="0083010F">
      <w:pPr>
        <w:ind w:left="720" w:right="630"/>
        <w:jc w:val="right"/>
      </w:pPr>
      <w:r w:rsidRPr="00D7066F">
        <w:rPr>
          <w:sz w:val="18"/>
        </w:rPr>
        <w:t xml:space="preserve">(Source: </w:t>
      </w:r>
      <w:r w:rsidR="00E431C7">
        <w:rPr>
          <w:sz w:val="18"/>
        </w:rPr>
        <w:t>Behavioral Risk Factors Surveillance System</w:t>
      </w:r>
      <w:r w:rsidRPr="00D7066F">
        <w:rPr>
          <w:sz w:val="18"/>
        </w:rPr>
        <w:t>)</w:t>
      </w:r>
    </w:p>
    <w:sectPr w:rsidR="003C5BB2" w:rsidSect="00685491">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13CB" w:rsidRDefault="00E513CB" w:rsidP="002E5727">
      <w:r>
        <w:separator/>
      </w:r>
    </w:p>
  </w:endnote>
  <w:endnote w:type="continuationSeparator" w:id="0">
    <w:p w:rsidR="00E513CB" w:rsidRDefault="00E513CB" w:rsidP="002E5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9243090"/>
      <w:docPartObj>
        <w:docPartGallery w:val="Page Numbers (Bottom of Page)"/>
        <w:docPartUnique/>
      </w:docPartObj>
    </w:sdtPr>
    <w:sdtEndPr>
      <w:rPr>
        <w:noProof/>
      </w:rPr>
    </w:sdtEndPr>
    <w:sdtContent>
      <w:p w:rsidR="00685491" w:rsidRDefault="00AC130D">
        <w:pPr>
          <w:pStyle w:val="Footer"/>
          <w:jc w:val="right"/>
        </w:pPr>
        <w:r>
          <w:fldChar w:fldCharType="begin"/>
        </w:r>
        <w:r w:rsidR="00685491">
          <w:instrText xml:space="preserve"> PAGE   \* MERGEFORMAT </w:instrText>
        </w:r>
        <w:r>
          <w:fldChar w:fldCharType="separate"/>
        </w:r>
        <w:r w:rsidR="00A90055">
          <w:rPr>
            <w:noProof/>
          </w:rPr>
          <w:t>7</w:t>
        </w:r>
        <w:r>
          <w:rPr>
            <w:noProof/>
          </w:rPr>
          <w:fldChar w:fldCharType="end"/>
        </w:r>
      </w:p>
    </w:sdtContent>
  </w:sdt>
  <w:p w:rsidR="00685491" w:rsidRDefault="006854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13CB" w:rsidRDefault="00E513CB" w:rsidP="002E5727">
      <w:r>
        <w:separator/>
      </w:r>
    </w:p>
  </w:footnote>
  <w:footnote w:type="continuationSeparator" w:id="0">
    <w:p w:rsidR="00E513CB" w:rsidRDefault="00E513CB" w:rsidP="002E57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977675"/>
    <w:multiLevelType w:val="hybridMultilevel"/>
    <w:tmpl w:val="8800CB1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5021442A"/>
    <w:multiLevelType w:val="hybridMultilevel"/>
    <w:tmpl w:val="A43630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73BDC"/>
    <w:rsid w:val="00003197"/>
    <w:rsid w:val="000626D1"/>
    <w:rsid w:val="000A0988"/>
    <w:rsid w:val="000D17D9"/>
    <w:rsid w:val="00136E37"/>
    <w:rsid w:val="001D003D"/>
    <w:rsid w:val="001D1599"/>
    <w:rsid w:val="001E210D"/>
    <w:rsid w:val="0021284B"/>
    <w:rsid w:val="00216D27"/>
    <w:rsid w:val="002A4925"/>
    <w:rsid w:val="002A7043"/>
    <w:rsid w:val="002A75DB"/>
    <w:rsid w:val="002E5727"/>
    <w:rsid w:val="00387DDD"/>
    <w:rsid w:val="003C5BB2"/>
    <w:rsid w:val="003E4A90"/>
    <w:rsid w:val="004C4DF6"/>
    <w:rsid w:val="004F0DFF"/>
    <w:rsid w:val="0051408D"/>
    <w:rsid w:val="00560182"/>
    <w:rsid w:val="00620155"/>
    <w:rsid w:val="00685491"/>
    <w:rsid w:val="00732D49"/>
    <w:rsid w:val="00756273"/>
    <w:rsid w:val="0077772B"/>
    <w:rsid w:val="00785452"/>
    <w:rsid w:val="007B63E5"/>
    <w:rsid w:val="0083010F"/>
    <w:rsid w:val="00861998"/>
    <w:rsid w:val="00862336"/>
    <w:rsid w:val="0087271E"/>
    <w:rsid w:val="00895B13"/>
    <w:rsid w:val="008B4155"/>
    <w:rsid w:val="00947BFD"/>
    <w:rsid w:val="009F6A49"/>
    <w:rsid w:val="00A10EB1"/>
    <w:rsid w:val="00A526D8"/>
    <w:rsid w:val="00A90055"/>
    <w:rsid w:val="00AC130D"/>
    <w:rsid w:val="00AE27F5"/>
    <w:rsid w:val="00AE375C"/>
    <w:rsid w:val="00B071EC"/>
    <w:rsid w:val="00BE5AB1"/>
    <w:rsid w:val="00CD79A9"/>
    <w:rsid w:val="00CF4527"/>
    <w:rsid w:val="00D04C7E"/>
    <w:rsid w:val="00D55746"/>
    <w:rsid w:val="00D6728D"/>
    <w:rsid w:val="00D67F48"/>
    <w:rsid w:val="00D922AD"/>
    <w:rsid w:val="00E431C7"/>
    <w:rsid w:val="00E513CB"/>
    <w:rsid w:val="00E73BDC"/>
    <w:rsid w:val="00E83FAA"/>
    <w:rsid w:val="00ED28BC"/>
    <w:rsid w:val="00F15F6E"/>
    <w:rsid w:val="00F432FC"/>
    <w:rsid w:val="00FC0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rules v:ext="edit">
        <o:r id="V:Rule1" type="connector" idref="#AutoShape 15"/>
        <o:r id="V:Rule2" type="connector" idref="#AutoShape 7"/>
        <o:r id="V:Rule3" type="connector" idref="#AutoShape 18"/>
        <o:r id="V:Rule4" type="connector" idref="#AutoShape 13"/>
        <o:r id="V:Rule5" type="connector" idref="#AutoShape 12"/>
        <o:r id="V:Rule6" type="connector" idref="#AutoShape 4"/>
        <o:r id="V:Rule7" type="connector" idref="#AutoShape 9"/>
        <o:r id="V:Rule8" type="connector" idref="#AutoShape 16"/>
        <o:r id="V:Rule9" type="connector" idref="#AutoShape 19"/>
        <o:r id="V:Rule10" type="connector" idref="#AutoShape 6"/>
        <o:r id="V:Rule11" type="connector" idref="#AutoShape 3"/>
        <o:r id="V:Rule12" type="connector" idref="#AutoShape 10"/>
        <o:r id="V:Rule13" type="connector" idref="#AutoShape 18"/>
        <o:r id="V:Rule14" type="connector" idref="#AutoShape 19"/>
      </o:rules>
    </o:shapelayout>
  </w:shapeDefaults>
  <w:decimalSymbol w:val="."/>
  <w:listSeparator w:val=","/>
  <w14:docId w14:val="72F9DC2D"/>
  <w15:docId w15:val="{42E6516D-F16F-403B-8742-2EB3A5113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BDC"/>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uiPriority w:val="39"/>
    <w:qFormat/>
    <w:rsid w:val="003C5BB2"/>
    <w:pPr>
      <w:ind w:right="720"/>
    </w:pPr>
    <w:rPr>
      <w:rFonts w:ascii="Arial" w:eastAsia="Times New Roman" w:hAnsi="Arial" w:cs="Times New Roman"/>
      <w:sz w:val="23"/>
      <w:szCs w:val="20"/>
    </w:rPr>
  </w:style>
  <w:style w:type="paragraph" w:styleId="ListParagraph">
    <w:name w:val="List Paragraph"/>
    <w:basedOn w:val="Normal"/>
    <w:uiPriority w:val="34"/>
    <w:qFormat/>
    <w:rsid w:val="003C5BB2"/>
    <w:pPr>
      <w:ind w:left="720"/>
      <w:contextualSpacing/>
    </w:pPr>
  </w:style>
  <w:style w:type="paragraph" w:styleId="Header">
    <w:name w:val="header"/>
    <w:basedOn w:val="Normal"/>
    <w:link w:val="HeaderChar"/>
    <w:uiPriority w:val="99"/>
    <w:unhideWhenUsed/>
    <w:rsid w:val="002E5727"/>
    <w:pPr>
      <w:tabs>
        <w:tab w:val="center" w:pos="4680"/>
        <w:tab w:val="right" w:pos="9360"/>
      </w:tabs>
    </w:pPr>
  </w:style>
  <w:style w:type="character" w:customStyle="1" w:styleId="HeaderChar">
    <w:name w:val="Header Char"/>
    <w:basedOn w:val="DefaultParagraphFont"/>
    <w:link w:val="Header"/>
    <w:uiPriority w:val="99"/>
    <w:rsid w:val="002E5727"/>
  </w:style>
  <w:style w:type="paragraph" w:styleId="Footer">
    <w:name w:val="footer"/>
    <w:basedOn w:val="Normal"/>
    <w:link w:val="FooterChar"/>
    <w:uiPriority w:val="99"/>
    <w:unhideWhenUsed/>
    <w:rsid w:val="002E5727"/>
    <w:pPr>
      <w:tabs>
        <w:tab w:val="center" w:pos="4680"/>
        <w:tab w:val="right" w:pos="9360"/>
      </w:tabs>
    </w:pPr>
  </w:style>
  <w:style w:type="character" w:customStyle="1" w:styleId="FooterChar">
    <w:name w:val="Footer Char"/>
    <w:basedOn w:val="DefaultParagraphFont"/>
    <w:link w:val="Footer"/>
    <w:uiPriority w:val="99"/>
    <w:rsid w:val="002E5727"/>
  </w:style>
  <w:style w:type="paragraph" w:styleId="Title">
    <w:name w:val="Title"/>
    <w:basedOn w:val="Normal"/>
    <w:link w:val="TitleChar"/>
    <w:qFormat/>
    <w:rsid w:val="00732D49"/>
    <w:pPr>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732D49"/>
    <w:rPr>
      <w:rFonts w:ascii="Times New Roman" w:eastAsia="Times New Roman" w:hAnsi="Times New Roman" w:cs="Times New Roman"/>
      <w:b/>
      <w:sz w:val="28"/>
      <w:szCs w:val="20"/>
    </w:rPr>
  </w:style>
  <w:style w:type="table" w:styleId="TableGrid">
    <w:name w:val="Table Grid"/>
    <w:basedOn w:val="TableNormal"/>
    <w:uiPriority w:val="59"/>
    <w:rsid w:val="00732D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75DB"/>
    <w:rPr>
      <w:rFonts w:ascii="Tahoma" w:hAnsi="Tahoma" w:cs="Tahoma"/>
      <w:sz w:val="16"/>
      <w:szCs w:val="16"/>
    </w:rPr>
  </w:style>
  <w:style w:type="character" w:customStyle="1" w:styleId="BalloonTextChar">
    <w:name w:val="Balloon Text Char"/>
    <w:basedOn w:val="DefaultParagraphFont"/>
    <w:link w:val="BalloonText"/>
    <w:uiPriority w:val="99"/>
    <w:semiHidden/>
    <w:rsid w:val="002A75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ettings" Target="settings.xml"/><Relationship Id="rId21" Type="http://schemas.openxmlformats.org/officeDocument/2006/relationships/chart" Target="charts/chart9.xml"/><Relationship Id="rId7" Type="http://schemas.openxmlformats.org/officeDocument/2006/relationships/hyperlink" Target="http://www.google.com/imgres?um=1&amp;sa=N&amp;rls=com.microsoft:en-us:IE-Address&amp;rlz=1I7GGLL_en&amp;hl=en&amp;biw=1024&amp;bih=689&amp;tbm=isch&amp;tbnid=ubOMGPMBYBSnvM:&amp;imgrefurl=http://www.pbs.org/newshour/rundown/2011/04/colorado-paradoxes-mean-healthy-adults-unhealthy-children.html&amp;docid=ZAD_jdHNlT7efM&amp;imgurl=http://newshour.s3.amazonaws.com/photos/2011/04/13/2955710499_6da9b26806_o_blog_main_horizontal.jpg&amp;w=480&amp;h=380&amp;ei=V3JsUbG-NYbl0QG1wIHwDQ&amp;zoom=1&amp;ved=1t:3588,r:10,s:0,i:115&amp;iact=rc&amp;dur=650&amp;page=1&amp;tbnh=194&amp;tbnw=225&amp;start=0&amp;ndsp=14&amp;tx=174&amp;ty=93" TargetMode="External"/><Relationship Id="rId12" Type="http://schemas.openxmlformats.org/officeDocument/2006/relationships/image" Target="media/image3.jpeg"/><Relationship Id="rId17" Type="http://schemas.openxmlformats.org/officeDocument/2006/relationships/chart" Target="charts/chart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cchp.or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hyperlink" Target="http://www.google.com/url?sa=i&amp;rct=j&amp;q=&amp;esrc=s&amp;frm=1&amp;source=images&amp;cd=&amp;cad=rja&amp;docid=rFeP1tkRwiI5sM&amp;tbnid=K0SP_7GpWlBOQM:&amp;ved=&amp;url=http://www.roxanneardary.com/blog/active-adult-communities-in-mount-laurel/&amp;ei=hnRsUeOpBsje0gG2xoCACw&amp;bvm=bv.45175338,d.dmQ&amp;psig=AFQjCNEXPvthimtQMfLTq_gau7wxOPR6yA&amp;ust=1366148614567014" TargetMode="External"/><Relationship Id="rId14" Type="http://schemas.openxmlformats.org/officeDocument/2006/relationships/chart" Target="charts/chart2.xml"/><Relationship Id="rId22"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ll\Desktop\Work\Buffalo%20County%20-%20Positive%20Pressure\Data%20Reports\Homes\Homes%20Graph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ill\Desktop\Work\Buffalo%20County%20-%20Positive%20Pressure\Data%20Reports\Homes\Homes%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ll\Desktop\Work\Buffalo%20County%20-%20Positive%20Pressure\Data%20Reports\Homes\Homes%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ill\Desktop\Work\Buffalo%20County%20-%20Positive%20Pressure\Data%20Reports\Homes\Homes%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ill\Desktop\Work\Buffalo%20County%20-%20Positive%20Pressure\Data%20Reports\Homes\Homes%20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ill\Desktop\Work\Buffalo%20County%20-%20Positive%20Pressure\Data%20Reports\Homes\Homes%20Graph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ill\Desktop\Work\Buffalo%20County%20-%20Positive%20Pressure\Data%20Reports\Homes\Homes%20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ill\Desktop\Work\Buffalo%20County%20-%20Positive%20Pressure\Data%20Reports\Homes\Homes%20Graph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ill\Desktop\Work\Buffalo%20County%20-%20Positive%20Pressure\Data%20Reports\Homes\Homes%20Graph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ill\Desktop\Work\Buffalo%20County%20-%20Positive%20Pressure\Data%20Reports\Homes\Homes%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Figure</a:t>
            </a:r>
            <a:r>
              <a:rPr lang="en-US" sz="1200" baseline="0"/>
              <a:t> 1. </a:t>
            </a:r>
            <a:r>
              <a:rPr lang="en-US" sz="1200"/>
              <a:t>Total Number of Housing Units in Buffalo County </a:t>
            </a:r>
          </a:p>
          <a:p>
            <a:pPr>
              <a:defRPr/>
            </a:pPr>
            <a:r>
              <a:rPr lang="en-US" sz="1200"/>
              <a:t>(2000 to 2015)</a:t>
            </a:r>
          </a:p>
        </c:rich>
      </c:tx>
      <c:overlay val="0"/>
    </c:title>
    <c:autoTitleDeleted val="0"/>
    <c:plotArea>
      <c:layout/>
      <c:lineChart>
        <c:grouping val="standard"/>
        <c:varyColors val="0"/>
        <c:ser>
          <c:idx val="0"/>
          <c:order val="0"/>
          <c:tx>
            <c:strRef>
              <c:f>Homes!$A$32</c:f>
              <c:strCache>
                <c:ptCount val="1"/>
                <c:pt idx="0">
                  <c:v>Buffalo County</c:v>
                </c:pt>
              </c:strCache>
            </c:strRef>
          </c:tx>
          <c:marker>
            <c:symbol val="none"/>
          </c:marker>
          <c:cat>
            <c:numRef>
              <c:f>Homes!$B$31:$K$31</c:f>
              <c:numCache>
                <c:formatCode>General</c:formatCode>
                <c:ptCount val="10"/>
                <c:pt idx="0">
                  <c:v>2000</c:v>
                </c:pt>
                <c:pt idx="1">
                  <c:v>2007</c:v>
                </c:pt>
                <c:pt idx="2">
                  <c:v>2008</c:v>
                </c:pt>
                <c:pt idx="3">
                  <c:v>2009</c:v>
                </c:pt>
                <c:pt idx="4">
                  <c:v>2010</c:v>
                </c:pt>
                <c:pt idx="5">
                  <c:v>2011</c:v>
                </c:pt>
                <c:pt idx="6">
                  <c:v>2012</c:v>
                </c:pt>
                <c:pt idx="7">
                  <c:v>2013</c:v>
                </c:pt>
                <c:pt idx="8">
                  <c:v>2014</c:v>
                </c:pt>
                <c:pt idx="9">
                  <c:v>2015</c:v>
                </c:pt>
              </c:numCache>
            </c:numRef>
          </c:cat>
          <c:val>
            <c:numRef>
              <c:f>Homes!$B$32:$K$32</c:f>
              <c:numCache>
                <c:formatCode>#,##0</c:formatCode>
                <c:ptCount val="10"/>
                <c:pt idx="0">
                  <c:v>16830</c:v>
                </c:pt>
                <c:pt idx="1">
                  <c:v>18420</c:v>
                </c:pt>
                <c:pt idx="2">
                  <c:v>18581</c:v>
                </c:pt>
                <c:pt idx="3">
                  <c:v>18762</c:v>
                </c:pt>
                <c:pt idx="4">
                  <c:v>18978</c:v>
                </c:pt>
                <c:pt idx="5">
                  <c:v>19084</c:v>
                </c:pt>
                <c:pt idx="6">
                  <c:v>19161</c:v>
                </c:pt>
                <c:pt idx="7">
                  <c:v>19258</c:v>
                </c:pt>
                <c:pt idx="8">
                  <c:v>19347</c:v>
                </c:pt>
                <c:pt idx="9">
                  <c:v>19531</c:v>
                </c:pt>
              </c:numCache>
            </c:numRef>
          </c:val>
          <c:smooth val="0"/>
          <c:extLst>
            <c:ext xmlns:c16="http://schemas.microsoft.com/office/drawing/2014/chart" uri="{C3380CC4-5D6E-409C-BE32-E72D297353CC}">
              <c16:uniqueId val="{00000000-76FC-4910-A3F8-896820D1928E}"/>
            </c:ext>
          </c:extLst>
        </c:ser>
        <c:dLbls>
          <c:showLegendKey val="0"/>
          <c:showVal val="0"/>
          <c:showCatName val="0"/>
          <c:showSerName val="0"/>
          <c:showPercent val="0"/>
          <c:showBubbleSize val="0"/>
        </c:dLbls>
        <c:smooth val="0"/>
        <c:axId val="125531640"/>
        <c:axId val="125530464"/>
      </c:lineChart>
      <c:catAx>
        <c:axId val="125531640"/>
        <c:scaling>
          <c:orientation val="minMax"/>
        </c:scaling>
        <c:delete val="0"/>
        <c:axPos val="b"/>
        <c:numFmt formatCode="General" sourceLinked="1"/>
        <c:majorTickMark val="out"/>
        <c:minorTickMark val="none"/>
        <c:tickLblPos val="nextTo"/>
        <c:crossAx val="125530464"/>
        <c:crosses val="autoZero"/>
        <c:auto val="1"/>
        <c:lblAlgn val="ctr"/>
        <c:lblOffset val="100"/>
        <c:noMultiLvlLbl val="0"/>
      </c:catAx>
      <c:valAx>
        <c:axId val="125530464"/>
        <c:scaling>
          <c:orientation val="minMax"/>
          <c:max val="20000"/>
          <c:min val="15000"/>
        </c:scaling>
        <c:delete val="0"/>
        <c:axPos val="l"/>
        <c:majorGridlines/>
        <c:numFmt formatCode="#,##0" sourceLinked="1"/>
        <c:majorTickMark val="out"/>
        <c:minorTickMark val="none"/>
        <c:tickLblPos val="nextTo"/>
        <c:crossAx val="125531640"/>
        <c:crosses val="autoZero"/>
        <c:crossBetween val="between"/>
        <c:majorUnit val="1000"/>
      </c:valAx>
      <c:dTable>
        <c:showHorzBorder val="1"/>
        <c:showVertBorder val="1"/>
        <c:showOutline val="1"/>
        <c:showKeys val="1"/>
        <c:txPr>
          <a:bodyPr/>
          <a:lstStyle/>
          <a:p>
            <a:pPr rtl="0">
              <a:defRPr sz="900"/>
            </a:pPr>
            <a:endParaRPr lang="en-US"/>
          </a:p>
        </c:txPr>
      </c:dTable>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a:t>
            </a:r>
            <a:r>
              <a:rPr lang="en-US" sz="1200" baseline="0"/>
              <a:t> 10. Housing Insecurity* in the Past Year among Those Who Own or Rent Their Home</a:t>
            </a:r>
            <a:endParaRPr lang="en-US" sz="1200"/>
          </a:p>
        </c:rich>
      </c:tx>
      <c:overlay val="0"/>
    </c:title>
    <c:autoTitleDeleted val="0"/>
    <c:plotArea>
      <c:layout/>
      <c:barChart>
        <c:barDir val="col"/>
        <c:grouping val="clustered"/>
        <c:varyColors val="0"/>
        <c:ser>
          <c:idx val="0"/>
          <c:order val="0"/>
          <c:tx>
            <c:strRef>
              <c:f>Homes!$A$213</c:f>
              <c:strCache>
                <c:ptCount val="1"/>
                <c:pt idx="0">
                  <c:v>Buffalo County</c:v>
                </c:pt>
              </c:strCache>
            </c:strRef>
          </c:tx>
          <c:spPr>
            <a:solidFill>
              <a:schemeClr val="accent1">
                <a:lumMod val="40000"/>
                <a:lumOff val="60000"/>
              </a:schemeClr>
            </a:solidFill>
          </c:spPr>
          <c:invertIfNegative val="0"/>
          <c:cat>
            <c:numRef>
              <c:f>Homes!$B$212:$E$212</c:f>
              <c:numCache>
                <c:formatCode>General</c:formatCode>
                <c:ptCount val="4"/>
                <c:pt idx="0">
                  <c:v>2012</c:v>
                </c:pt>
                <c:pt idx="1">
                  <c:v>2013</c:v>
                </c:pt>
                <c:pt idx="2">
                  <c:v>2015</c:v>
                </c:pt>
                <c:pt idx="3">
                  <c:v>2016</c:v>
                </c:pt>
              </c:numCache>
            </c:numRef>
          </c:cat>
          <c:val>
            <c:numRef>
              <c:f>Homes!$B$213:$E$213</c:f>
              <c:numCache>
                <c:formatCode>_(* #,##0.00_);_(* \(#,##0.00\);_(* "-"??_);_(@_)</c:formatCode>
                <c:ptCount val="4"/>
                <c:pt idx="0" formatCode="0.0%">
                  <c:v>0.29199999999999998</c:v>
                </c:pt>
                <c:pt idx="1">
                  <c:v>0</c:v>
                </c:pt>
                <c:pt idx="2">
                  <c:v>0</c:v>
                </c:pt>
                <c:pt idx="3" formatCode="0.0%">
                  <c:v>0.21199999999999999</c:v>
                </c:pt>
              </c:numCache>
            </c:numRef>
          </c:val>
          <c:extLst>
            <c:ext xmlns:c16="http://schemas.microsoft.com/office/drawing/2014/chart" uri="{C3380CC4-5D6E-409C-BE32-E72D297353CC}">
              <c16:uniqueId val="{00000000-2164-4EA1-A388-8C7FE1BF98CA}"/>
            </c:ext>
          </c:extLst>
        </c:ser>
        <c:ser>
          <c:idx val="1"/>
          <c:order val="1"/>
          <c:tx>
            <c:strRef>
              <c:f>Homes!$A$214</c:f>
              <c:strCache>
                <c:ptCount val="1"/>
                <c:pt idx="0">
                  <c:v>Two Rivers Health District°</c:v>
                </c:pt>
              </c:strCache>
            </c:strRef>
          </c:tx>
          <c:spPr>
            <a:solidFill>
              <a:schemeClr val="tx1">
                <a:lumMod val="50000"/>
                <a:lumOff val="50000"/>
              </a:schemeClr>
            </a:solidFill>
            <a:ln>
              <a:noFill/>
            </a:ln>
          </c:spPr>
          <c:invertIfNegative val="0"/>
          <c:dPt>
            <c:idx val="1"/>
            <c:invertIfNegative val="0"/>
            <c:bubble3D val="0"/>
            <c:extLst>
              <c:ext xmlns:c16="http://schemas.microsoft.com/office/drawing/2014/chart" uri="{C3380CC4-5D6E-409C-BE32-E72D297353CC}">
                <c16:uniqueId val="{00000001-2164-4EA1-A388-8C7FE1BF98CA}"/>
              </c:ext>
            </c:extLst>
          </c:dPt>
          <c:cat>
            <c:numRef>
              <c:f>Homes!$B$212:$E$212</c:f>
              <c:numCache>
                <c:formatCode>General</c:formatCode>
                <c:ptCount val="4"/>
                <c:pt idx="0">
                  <c:v>2012</c:v>
                </c:pt>
                <c:pt idx="1">
                  <c:v>2013</c:v>
                </c:pt>
                <c:pt idx="2">
                  <c:v>2015</c:v>
                </c:pt>
                <c:pt idx="3">
                  <c:v>2016</c:v>
                </c:pt>
              </c:numCache>
            </c:numRef>
          </c:cat>
          <c:val>
            <c:numRef>
              <c:f>Homes!$B$214:$E$214</c:f>
              <c:numCache>
                <c:formatCode>0.0%</c:formatCode>
                <c:ptCount val="4"/>
                <c:pt idx="0">
                  <c:v>0.26700000000000002</c:v>
                </c:pt>
                <c:pt idx="1">
                  <c:v>0.26500000000000001</c:v>
                </c:pt>
                <c:pt idx="2">
                  <c:v>0.30599999999999999</c:v>
                </c:pt>
                <c:pt idx="3" formatCode="_(* #,##0.00_);_(* \(#,##0.00\);_(* &quot;-&quot;??_);_(@_)">
                  <c:v>0</c:v>
                </c:pt>
              </c:numCache>
            </c:numRef>
          </c:val>
          <c:extLst>
            <c:ext xmlns:c16="http://schemas.microsoft.com/office/drawing/2014/chart" uri="{C3380CC4-5D6E-409C-BE32-E72D297353CC}">
              <c16:uniqueId val="{00000002-2164-4EA1-A388-8C7FE1BF98CA}"/>
            </c:ext>
          </c:extLst>
        </c:ser>
        <c:dLbls>
          <c:showLegendKey val="0"/>
          <c:showVal val="0"/>
          <c:showCatName val="0"/>
          <c:showSerName val="0"/>
          <c:showPercent val="0"/>
          <c:showBubbleSize val="0"/>
        </c:dLbls>
        <c:gapWidth val="150"/>
        <c:axId val="123480880"/>
        <c:axId val="362987000"/>
      </c:barChart>
      <c:lineChart>
        <c:grouping val="stacked"/>
        <c:varyColors val="0"/>
        <c:ser>
          <c:idx val="2"/>
          <c:order val="2"/>
          <c:tx>
            <c:strRef>
              <c:f>Homes!$A$215</c:f>
              <c:strCache>
                <c:ptCount val="1"/>
                <c:pt idx="0">
                  <c:v>Nebraska</c:v>
                </c:pt>
              </c:strCache>
            </c:strRef>
          </c:tx>
          <c:spPr>
            <a:ln>
              <a:noFill/>
            </a:ln>
          </c:spPr>
          <c:marker>
            <c:symbol val="dash"/>
            <c:size val="12"/>
            <c:spPr>
              <a:solidFill>
                <a:schemeClr val="tx1"/>
              </a:solidFill>
              <a:ln>
                <a:solidFill>
                  <a:schemeClr val="tx1"/>
                </a:solidFill>
              </a:ln>
            </c:spPr>
          </c:marker>
          <c:dPt>
            <c:idx val="0"/>
            <c:marker>
              <c:spPr>
                <a:noFill/>
                <a:ln>
                  <a:noFill/>
                </a:ln>
              </c:spPr>
            </c:marker>
            <c:bubble3D val="0"/>
            <c:extLst>
              <c:ext xmlns:c16="http://schemas.microsoft.com/office/drawing/2014/chart" uri="{C3380CC4-5D6E-409C-BE32-E72D297353CC}">
                <c16:uniqueId val="{00000003-2164-4EA1-A388-8C7FE1BF98CA}"/>
              </c:ext>
            </c:extLst>
          </c:dPt>
          <c:dPt>
            <c:idx val="1"/>
            <c:marker>
              <c:spPr>
                <a:noFill/>
                <a:ln>
                  <a:noFill/>
                </a:ln>
              </c:spPr>
            </c:marker>
            <c:bubble3D val="0"/>
            <c:extLst>
              <c:ext xmlns:c16="http://schemas.microsoft.com/office/drawing/2014/chart" uri="{C3380CC4-5D6E-409C-BE32-E72D297353CC}">
                <c16:uniqueId val="{00000004-2164-4EA1-A388-8C7FE1BF98CA}"/>
              </c:ext>
            </c:extLst>
          </c:dPt>
          <c:dPt>
            <c:idx val="4"/>
            <c:marker>
              <c:spPr>
                <a:noFill/>
                <a:ln>
                  <a:noFill/>
                </a:ln>
              </c:spPr>
            </c:marker>
            <c:bubble3D val="0"/>
            <c:extLst>
              <c:ext xmlns:c16="http://schemas.microsoft.com/office/drawing/2014/chart" uri="{C3380CC4-5D6E-409C-BE32-E72D297353CC}">
                <c16:uniqueId val="{00000005-2164-4EA1-A388-8C7FE1BF98CA}"/>
              </c:ext>
            </c:extLst>
          </c:dPt>
          <c:dPt>
            <c:idx val="6"/>
            <c:marker>
              <c:spPr>
                <a:noFill/>
                <a:ln>
                  <a:noFill/>
                </a:ln>
              </c:spPr>
            </c:marker>
            <c:bubble3D val="0"/>
            <c:extLst>
              <c:ext xmlns:c16="http://schemas.microsoft.com/office/drawing/2014/chart" uri="{C3380CC4-5D6E-409C-BE32-E72D297353CC}">
                <c16:uniqueId val="{00000006-2164-4EA1-A388-8C7FE1BF98CA}"/>
              </c:ext>
            </c:extLst>
          </c:dPt>
          <c:cat>
            <c:numRef>
              <c:f>Homes!$B$212:$E$212</c:f>
              <c:numCache>
                <c:formatCode>General</c:formatCode>
                <c:ptCount val="4"/>
                <c:pt idx="0">
                  <c:v>2012</c:v>
                </c:pt>
                <c:pt idx="1">
                  <c:v>2013</c:v>
                </c:pt>
                <c:pt idx="2">
                  <c:v>2015</c:v>
                </c:pt>
                <c:pt idx="3">
                  <c:v>2016</c:v>
                </c:pt>
              </c:numCache>
            </c:numRef>
          </c:cat>
          <c:val>
            <c:numRef>
              <c:f>Homes!$B$215:$E$215</c:f>
              <c:numCache>
                <c:formatCode>0.0%</c:formatCode>
                <c:ptCount val="4"/>
                <c:pt idx="0">
                  <c:v>0.26600000000000001</c:v>
                </c:pt>
                <c:pt idx="1">
                  <c:v>0.28799999999999998</c:v>
                </c:pt>
                <c:pt idx="2">
                  <c:v>0.28499999999999998</c:v>
                </c:pt>
                <c:pt idx="3" formatCode="_(* #,##0.00_);_(* \(#,##0.00\);_(* &quot;-&quot;??_);_(@_)">
                  <c:v>0</c:v>
                </c:pt>
              </c:numCache>
            </c:numRef>
          </c:val>
          <c:smooth val="0"/>
          <c:extLst>
            <c:ext xmlns:c16="http://schemas.microsoft.com/office/drawing/2014/chart" uri="{C3380CC4-5D6E-409C-BE32-E72D297353CC}">
              <c16:uniqueId val="{00000007-2164-4EA1-A388-8C7FE1BF98CA}"/>
            </c:ext>
          </c:extLst>
        </c:ser>
        <c:dLbls>
          <c:showLegendKey val="0"/>
          <c:showVal val="0"/>
          <c:showCatName val="0"/>
          <c:showSerName val="0"/>
          <c:showPercent val="0"/>
          <c:showBubbleSize val="0"/>
        </c:dLbls>
        <c:marker val="1"/>
        <c:smooth val="0"/>
        <c:axId val="123480880"/>
        <c:axId val="362987000"/>
      </c:lineChart>
      <c:catAx>
        <c:axId val="123480880"/>
        <c:scaling>
          <c:orientation val="minMax"/>
        </c:scaling>
        <c:delete val="0"/>
        <c:axPos val="b"/>
        <c:numFmt formatCode="General" sourceLinked="0"/>
        <c:majorTickMark val="none"/>
        <c:minorTickMark val="none"/>
        <c:tickLblPos val="nextTo"/>
        <c:crossAx val="362987000"/>
        <c:crosses val="autoZero"/>
        <c:auto val="1"/>
        <c:lblAlgn val="ctr"/>
        <c:lblOffset val="100"/>
        <c:noMultiLvlLbl val="0"/>
      </c:catAx>
      <c:valAx>
        <c:axId val="362987000"/>
        <c:scaling>
          <c:orientation val="minMax"/>
          <c:max val="0.4"/>
          <c:min val="0"/>
        </c:scaling>
        <c:delete val="0"/>
        <c:axPos val="l"/>
        <c:majorGridlines/>
        <c:numFmt formatCode="0%" sourceLinked="0"/>
        <c:majorTickMark val="none"/>
        <c:minorTickMark val="none"/>
        <c:tickLblPos val="nextTo"/>
        <c:crossAx val="123480880"/>
        <c:crosses val="autoZero"/>
        <c:crossBetween val="between"/>
        <c:majorUnit val="0.1"/>
      </c:valAx>
      <c:dTable>
        <c:showHorzBorder val="1"/>
        <c:showVertBorder val="1"/>
        <c:showOutline val="1"/>
        <c:showKeys val="1"/>
        <c:txPr>
          <a:bodyPr/>
          <a:lstStyle/>
          <a:p>
            <a:pPr rtl="0">
              <a:defRPr sz="900"/>
            </a:pPr>
            <a:endParaRPr lang="en-US"/>
          </a:p>
        </c:txPr>
      </c:dTable>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Figure 2. Percentage of Housing Units That</a:t>
            </a:r>
            <a:r>
              <a:rPr lang="en-US" sz="1200" baseline="0"/>
              <a:t> Are Occupied: </a:t>
            </a:r>
          </a:p>
          <a:p>
            <a:pPr>
              <a:defRPr/>
            </a:pPr>
            <a:r>
              <a:rPr lang="en-US" sz="1200" baseline="0"/>
              <a:t>Buffalo County and Nebraska </a:t>
            </a:r>
            <a:r>
              <a:rPr lang="en-US" sz="1200"/>
              <a:t>(2000 to 2015)</a:t>
            </a:r>
          </a:p>
        </c:rich>
      </c:tx>
      <c:overlay val="0"/>
    </c:title>
    <c:autoTitleDeleted val="0"/>
    <c:plotArea>
      <c:layout/>
      <c:lineChart>
        <c:grouping val="standard"/>
        <c:varyColors val="0"/>
        <c:ser>
          <c:idx val="0"/>
          <c:order val="0"/>
          <c:tx>
            <c:strRef>
              <c:f>Homes!$A$51</c:f>
              <c:strCache>
                <c:ptCount val="1"/>
                <c:pt idx="0">
                  <c:v>Buffalo County</c:v>
                </c:pt>
              </c:strCache>
            </c:strRef>
          </c:tx>
          <c:marker>
            <c:symbol val="none"/>
          </c:marker>
          <c:cat>
            <c:numRef>
              <c:f>Homes!$B$50:$K$50</c:f>
              <c:numCache>
                <c:formatCode>General</c:formatCode>
                <c:ptCount val="10"/>
                <c:pt idx="0">
                  <c:v>2000</c:v>
                </c:pt>
                <c:pt idx="1">
                  <c:v>2007</c:v>
                </c:pt>
                <c:pt idx="2">
                  <c:v>2008</c:v>
                </c:pt>
                <c:pt idx="3">
                  <c:v>2009</c:v>
                </c:pt>
                <c:pt idx="4">
                  <c:v>2010</c:v>
                </c:pt>
                <c:pt idx="5">
                  <c:v>2011</c:v>
                </c:pt>
                <c:pt idx="6">
                  <c:v>2012</c:v>
                </c:pt>
                <c:pt idx="7">
                  <c:v>2013</c:v>
                </c:pt>
                <c:pt idx="8">
                  <c:v>2014</c:v>
                </c:pt>
                <c:pt idx="9">
                  <c:v>2015</c:v>
                </c:pt>
              </c:numCache>
            </c:numRef>
          </c:cat>
          <c:val>
            <c:numRef>
              <c:f>Homes!$B$51:$K$51</c:f>
              <c:numCache>
                <c:formatCode>0.0%</c:formatCode>
                <c:ptCount val="10"/>
                <c:pt idx="0">
                  <c:v>0.94699999999999995</c:v>
                </c:pt>
                <c:pt idx="1">
                  <c:v>0.93799999999999994</c:v>
                </c:pt>
                <c:pt idx="2">
                  <c:v>0.91600000000000004</c:v>
                </c:pt>
                <c:pt idx="3">
                  <c:v>0.91900000000000004</c:v>
                </c:pt>
                <c:pt idx="4">
                  <c:v>0.91400000000000003</c:v>
                </c:pt>
                <c:pt idx="5">
                  <c:v>0.92600000000000005</c:v>
                </c:pt>
                <c:pt idx="6">
                  <c:v>0.91900000000000004</c:v>
                </c:pt>
                <c:pt idx="7">
                  <c:v>0.92400000000000004</c:v>
                </c:pt>
                <c:pt idx="8">
                  <c:v>0.93099999999999994</c:v>
                </c:pt>
                <c:pt idx="9">
                  <c:v>0.94</c:v>
                </c:pt>
              </c:numCache>
            </c:numRef>
          </c:val>
          <c:smooth val="0"/>
          <c:extLst>
            <c:ext xmlns:c16="http://schemas.microsoft.com/office/drawing/2014/chart" uri="{C3380CC4-5D6E-409C-BE32-E72D297353CC}">
              <c16:uniqueId val="{00000000-8802-4ED9-BE44-3A2079283D11}"/>
            </c:ext>
          </c:extLst>
        </c:ser>
        <c:ser>
          <c:idx val="1"/>
          <c:order val="1"/>
          <c:tx>
            <c:strRef>
              <c:f>Homes!$A$52</c:f>
              <c:strCache>
                <c:ptCount val="1"/>
                <c:pt idx="0">
                  <c:v>Nebraska</c:v>
                </c:pt>
              </c:strCache>
            </c:strRef>
          </c:tx>
          <c:spPr>
            <a:ln>
              <a:solidFill>
                <a:schemeClr val="tx1"/>
              </a:solidFill>
            </a:ln>
          </c:spPr>
          <c:marker>
            <c:symbol val="none"/>
          </c:marker>
          <c:cat>
            <c:numRef>
              <c:f>Homes!$B$50:$K$50</c:f>
              <c:numCache>
                <c:formatCode>General</c:formatCode>
                <c:ptCount val="10"/>
                <c:pt idx="0">
                  <c:v>2000</c:v>
                </c:pt>
                <c:pt idx="1">
                  <c:v>2007</c:v>
                </c:pt>
                <c:pt idx="2">
                  <c:v>2008</c:v>
                </c:pt>
                <c:pt idx="3">
                  <c:v>2009</c:v>
                </c:pt>
                <c:pt idx="4">
                  <c:v>2010</c:v>
                </c:pt>
                <c:pt idx="5">
                  <c:v>2011</c:v>
                </c:pt>
                <c:pt idx="6">
                  <c:v>2012</c:v>
                </c:pt>
                <c:pt idx="7">
                  <c:v>2013</c:v>
                </c:pt>
                <c:pt idx="8">
                  <c:v>2014</c:v>
                </c:pt>
                <c:pt idx="9">
                  <c:v>2015</c:v>
                </c:pt>
              </c:numCache>
            </c:numRef>
          </c:cat>
          <c:val>
            <c:numRef>
              <c:f>Homes!$B$52:$K$52</c:f>
              <c:numCache>
                <c:formatCode>0.0%</c:formatCode>
                <c:ptCount val="10"/>
                <c:pt idx="0">
                  <c:v>0.92100000000000004</c:v>
                </c:pt>
                <c:pt idx="1">
                  <c:v>0.90300000000000002</c:v>
                </c:pt>
                <c:pt idx="2">
                  <c:v>0.9</c:v>
                </c:pt>
                <c:pt idx="3">
                  <c:v>0.89800000000000002</c:v>
                </c:pt>
                <c:pt idx="4">
                  <c:v>0.90100000000000002</c:v>
                </c:pt>
                <c:pt idx="5">
                  <c:v>0.90400000000000003</c:v>
                </c:pt>
                <c:pt idx="6">
                  <c:v>0.90700000000000003</c:v>
                </c:pt>
                <c:pt idx="7">
                  <c:v>0.90799999999999992</c:v>
                </c:pt>
                <c:pt idx="8">
                  <c:v>0.90799999999999992</c:v>
                </c:pt>
                <c:pt idx="9">
                  <c:v>0.91</c:v>
                </c:pt>
              </c:numCache>
            </c:numRef>
          </c:val>
          <c:smooth val="0"/>
          <c:extLst>
            <c:ext xmlns:c16="http://schemas.microsoft.com/office/drawing/2014/chart" uri="{C3380CC4-5D6E-409C-BE32-E72D297353CC}">
              <c16:uniqueId val="{00000001-8802-4ED9-BE44-3A2079283D11}"/>
            </c:ext>
          </c:extLst>
        </c:ser>
        <c:dLbls>
          <c:showLegendKey val="0"/>
          <c:showVal val="0"/>
          <c:showCatName val="0"/>
          <c:showSerName val="0"/>
          <c:showPercent val="0"/>
          <c:showBubbleSize val="0"/>
        </c:dLbls>
        <c:smooth val="0"/>
        <c:axId val="125534776"/>
        <c:axId val="125527720"/>
      </c:lineChart>
      <c:catAx>
        <c:axId val="125534776"/>
        <c:scaling>
          <c:orientation val="minMax"/>
        </c:scaling>
        <c:delete val="0"/>
        <c:axPos val="b"/>
        <c:numFmt formatCode="General" sourceLinked="1"/>
        <c:majorTickMark val="out"/>
        <c:minorTickMark val="none"/>
        <c:tickLblPos val="nextTo"/>
        <c:crossAx val="125527720"/>
        <c:crosses val="autoZero"/>
        <c:auto val="1"/>
        <c:lblAlgn val="ctr"/>
        <c:lblOffset val="100"/>
        <c:noMultiLvlLbl val="0"/>
      </c:catAx>
      <c:valAx>
        <c:axId val="125527720"/>
        <c:scaling>
          <c:orientation val="minMax"/>
          <c:max val="1"/>
          <c:min val="0.8"/>
        </c:scaling>
        <c:delete val="0"/>
        <c:axPos val="l"/>
        <c:majorGridlines/>
        <c:numFmt formatCode="0%" sourceLinked="0"/>
        <c:majorTickMark val="out"/>
        <c:minorTickMark val="none"/>
        <c:tickLblPos val="nextTo"/>
        <c:crossAx val="125534776"/>
        <c:crosses val="autoZero"/>
        <c:crossBetween val="between"/>
        <c:majorUnit val="0.1"/>
      </c:valAx>
      <c:dTable>
        <c:showHorzBorder val="1"/>
        <c:showVertBorder val="1"/>
        <c:showOutline val="1"/>
        <c:showKeys val="1"/>
        <c:txPr>
          <a:bodyPr/>
          <a:lstStyle/>
          <a:p>
            <a:pPr rtl="0">
              <a:defRPr sz="900"/>
            </a:pPr>
            <a:endParaRPr lang="en-US"/>
          </a:p>
        </c:txPr>
      </c:dTable>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Figure 3. Total Number of Owner-Occupied Homes in Buffalo County (2007 to 2015)</a:t>
            </a:r>
          </a:p>
        </c:rich>
      </c:tx>
      <c:overlay val="0"/>
    </c:title>
    <c:autoTitleDeleted val="0"/>
    <c:plotArea>
      <c:layout/>
      <c:lineChart>
        <c:grouping val="standard"/>
        <c:varyColors val="0"/>
        <c:ser>
          <c:idx val="0"/>
          <c:order val="0"/>
          <c:tx>
            <c:strRef>
              <c:f>Homes!$A$134</c:f>
              <c:strCache>
                <c:ptCount val="1"/>
                <c:pt idx="0">
                  <c:v>Buffalo County</c:v>
                </c:pt>
              </c:strCache>
            </c:strRef>
          </c:tx>
          <c:marker>
            <c:symbol val="none"/>
          </c:marker>
          <c:cat>
            <c:numRef>
              <c:f>Homes!$B$133:$J$133</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Homes!$B$134:$J$134</c:f>
              <c:numCache>
                <c:formatCode>#,##0</c:formatCode>
                <c:ptCount val="9"/>
                <c:pt idx="0">
                  <c:v>11387</c:v>
                </c:pt>
                <c:pt idx="1">
                  <c:v>11222</c:v>
                </c:pt>
                <c:pt idx="2">
                  <c:v>11087</c:v>
                </c:pt>
                <c:pt idx="3">
                  <c:v>11298</c:v>
                </c:pt>
                <c:pt idx="4">
                  <c:v>11338</c:v>
                </c:pt>
                <c:pt idx="5">
                  <c:v>11299</c:v>
                </c:pt>
                <c:pt idx="6">
                  <c:v>11387</c:v>
                </c:pt>
                <c:pt idx="7">
                  <c:v>11570</c:v>
                </c:pt>
                <c:pt idx="8">
                  <c:v>11617</c:v>
                </c:pt>
              </c:numCache>
            </c:numRef>
          </c:val>
          <c:smooth val="0"/>
          <c:extLst>
            <c:ext xmlns:c16="http://schemas.microsoft.com/office/drawing/2014/chart" uri="{C3380CC4-5D6E-409C-BE32-E72D297353CC}">
              <c16:uniqueId val="{00000000-0212-4506-B946-7740587C1C7A}"/>
            </c:ext>
          </c:extLst>
        </c:ser>
        <c:dLbls>
          <c:showLegendKey val="0"/>
          <c:showVal val="0"/>
          <c:showCatName val="0"/>
          <c:showSerName val="0"/>
          <c:showPercent val="0"/>
          <c:showBubbleSize val="0"/>
        </c:dLbls>
        <c:smooth val="0"/>
        <c:axId val="124364640"/>
        <c:axId val="124366600"/>
      </c:lineChart>
      <c:catAx>
        <c:axId val="124364640"/>
        <c:scaling>
          <c:orientation val="minMax"/>
        </c:scaling>
        <c:delete val="0"/>
        <c:axPos val="b"/>
        <c:numFmt formatCode="General" sourceLinked="1"/>
        <c:majorTickMark val="out"/>
        <c:minorTickMark val="none"/>
        <c:tickLblPos val="nextTo"/>
        <c:crossAx val="124366600"/>
        <c:crosses val="autoZero"/>
        <c:auto val="1"/>
        <c:lblAlgn val="ctr"/>
        <c:lblOffset val="100"/>
        <c:noMultiLvlLbl val="0"/>
      </c:catAx>
      <c:valAx>
        <c:axId val="124366600"/>
        <c:scaling>
          <c:orientation val="minMax"/>
          <c:max val="12000"/>
          <c:min val="10000"/>
        </c:scaling>
        <c:delete val="0"/>
        <c:axPos val="l"/>
        <c:majorGridlines/>
        <c:numFmt formatCode="#,##0" sourceLinked="1"/>
        <c:majorTickMark val="out"/>
        <c:minorTickMark val="none"/>
        <c:tickLblPos val="nextTo"/>
        <c:crossAx val="124364640"/>
        <c:crosses val="autoZero"/>
        <c:crossBetween val="between"/>
        <c:majorUnit val="1000"/>
      </c:valAx>
      <c:dTable>
        <c:showHorzBorder val="1"/>
        <c:showVertBorder val="1"/>
        <c:showOutline val="1"/>
        <c:showKeys val="1"/>
        <c:txPr>
          <a:bodyPr/>
          <a:lstStyle/>
          <a:p>
            <a:pPr rtl="0">
              <a:defRPr sz="900"/>
            </a:pPr>
            <a:endParaRPr lang="en-US"/>
          </a:p>
        </c:txPr>
      </c:dTable>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Figure 4. Percentage of Occupied Housing Units That</a:t>
            </a:r>
            <a:r>
              <a:rPr lang="en-US" sz="1200" baseline="0"/>
              <a:t> Are Owner-Occupied: Buffalo County and Nebraska </a:t>
            </a:r>
            <a:r>
              <a:rPr lang="en-US" sz="1200"/>
              <a:t>(2000 to 2015)</a:t>
            </a:r>
          </a:p>
        </c:rich>
      </c:tx>
      <c:overlay val="0"/>
    </c:title>
    <c:autoTitleDeleted val="0"/>
    <c:plotArea>
      <c:layout/>
      <c:lineChart>
        <c:grouping val="standard"/>
        <c:varyColors val="0"/>
        <c:ser>
          <c:idx val="0"/>
          <c:order val="0"/>
          <c:tx>
            <c:strRef>
              <c:f>Homes!$A$154</c:f>
              <c:strCache>
                <c:ptCount val="1"/>
                <c:pt idx="0">
                  <c:v>Buffalo County</c:v>
                </c:pt>
              </c:strCache>
            </c:strRef>
          </c:tx>
          <c:marker>
            <c:symbol val="none"/>
          </c:marker>
          <c:cat>
            <c:numRef>
              <c:f>Homes!$B$153:$J$153</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Homes!$B$154:$J$154</c:f>
              <c:numCache>
                <c:formatCode>0.0%</c:formatCode>
                <c:ptCount val="9"/>
                <c:pt idx="0">
                  <c:v>0.65900000000000003</c:v>
                </c:pt>
                <c:pt idx="1">
                  <c:v>0.65900000000000003</c:v>
                </c:pt>
                <c:pt idx="2">
                  <c:v>0.64300000000000002</c:v>
                </c:pt>
                <c:pt idx="3">
                  <c:v>0.65100000000000002</c:v>
                </c:pt>
                <c:pt idx="4">
                  <c:v>0.64100000000000001</c:v>
                </c:pt>
                <c:pt idx="5">
                  <c:v>0.6409999999999999</c:v>
                </c:pt>
                <c:pt idx="6">
                  <c:v>0.64</c:v>
                </c:pt>
                <c:pt idx="7">
                  <c:v>0.64200000000000002</c:v>
                </c:pt>
                <c:pt idx="8">
                  <c:v>0.63300000000000001</c:v>
                </c:pt>
              </c:numCache>
            </c:numRef>
          </c:val>
          <c:smooth val="0"/>
          <c:extLst>
            <c:ext xmlns:c16="http://schemas.microsoft.com/office/drawing/2014/chart" uri="{C3380CC4-5D6E-409C-BE32-E72D297353CC}">
              <c16:uniqueId val="{00000000-9247-49C4-83D0-917C1D10B8A1}"/>
            </c:ext>
          </c:extLst>
        </c:ser>
        <c:ser>
          <c:idx val="1"/>
          <c:order val="1"/>
          <c:tx>
            <c:strRef>
              <c:f>Homes!$A$155</c:f>
              <c:strCache>
                <c:ptCount val="1"/>
                <c:pt idx="0">
                  <c:v>Nebraska</c:v>
                </c:pt>
              </c:strCache>
            </c:strRef>
          </c:tx>
          <c:spPr>
            <a:ln>
              <a:solidFill>
                <a:schemeClr val="tx1"/>
              </a:solidFill>
            </a:ln>
          </c:spPr>
          <c:marker>
            <c:symbol val="none"/>
          </c:marker>
          <c:cat>
            <c:numRef>
              <c:f>Homes!$B$153:$J$153</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Homes!$B$155:$J$155</c:f>
              <c:numCache>
                <c:formatCode>0.0%</c:formatCode>
                <c:ptCount val="9"/>
                <c:pt idx="0">
                  <c:v>0.68500000000000005</c:v>
                </c:pt>
                <c:pt idx="1">
                  <c:v>0.68700000000000006</c:v>
                </c:pt>
                <c:pt idx="2">
                  <c:v>0.67900000000000005</c:v>
                </c:pt>
                <c:pt idx="3">
                  <c:v>0.68400000000000005</c:v>
                </c:pt>
                <c:pt idx="4">
                  <c:v>0.67500000000000004</c:v>
                </c:pt>
                <c:pt idx="5">
                  <c:v>0.66799999999999993</c:v>
                </c:pt>
                <c:pt idx="6">
                  <c:v>0.66400000000000003</c:v>
                </c:pt>
                <c:pt idx="7">
                  <c:v>0.66500000000000004</c:v>
                </c:pt>
                <c:pt idx="8">
                  <c:v>0.66200000000000003</c:v>
                </c:pt>
              </c:numCache>
            </c:numRef>
          </c:val>
          <c:smooth val="0"/>
          <c:extLst>
            <c:ext xmlns:c16="http://schemas.microsoft.com/office/drawing/2014/chart" uri="{C3380CC4-5D6E-409C-BE32-E72D297353CC}">
              <c16:uniqueId val="{00000001-9247-49C4-83D0-917C1D10B8A1}"/>
            </c:ext>
          </c:extLst>
        </c:ser>
        <c:dLbls>
          <c:showLegendKey val="0"/>
          <c:showVal val="0"/>
          <c:showCatName val="0"/>
          <c:showSerName val="0"/>
          <c:showPercent val="0"/>
          <c:showBubbleSize val="0"/>
        </c:dLbls>
        <c:smooth val="0"/>
        <c:axId val="126291376"/>
        <c:axId val="126296864"/>
      </c:lineChart>
      <c:catAx>
        <c:axId val="126291376"/>
        <c:scaling>
          <c:orientation val="minMax"/>
        </c:scaling>
        <c:delete val="0"/>
        <c:axPos val="b"/>
        <c:numFmt formatCode="General" sourceLinked="1"/>
        <c:majorTickMark val="out"/>
        <c:minorTickMark val="none"/>
        <c:tickLblPos val="nextTo"/>
        <c:crossAx val="126296864"/>
        <c:crosses val="autoZero"/>
        <c:auto val="1"/>
        <c:lblAlgn val="ctr"/>
        <c:lblOffset val="100"/>
        <c:noMultiLvlLbl val="0"/>
      </c:catAx>
      <c:valAx>
        <c:axId val="126296864"/>
        <c:scaling>
          <c:orientation val="minMax"/>
          <c:max val="0.8"/>
          <c:min val="0.5"/>
        </c:scaling>
        <c:delete val="0"/>
        <c:axPos val="l"/>
        <c:majorGridlines/>
        <c:numFmt formatCode="0%" sourceLinked="0"/>
        <c:majorTickMark val="out"/>
        <c:minorTickMark val="none"/>
        <c:tickLblPos val="nextTo"/>
        <c:crossAx val="126291376"/>
        <c:crosses val="autoZero"/>
        <c:crossBetween val="between"/>
        <c:majorUnit val="0.1"/>
      </c:valAx>
      <c:dTable>
        <c:showHorzBorder val="1"/>
        <c:showVertBorder val="1"/>
        <c:showOutline val="1"/>
        <c:showKeys val="1"/>
        <c:txPr>
          <a:bodyPr/>
          <a:lstStyle/>
          <a:p>
            <a:pPr rtl="0">
              <a:defRPr sz="900"/>
            </a:pPr>
            <a:endParaRPr lang="en-US"/>
          </a:p>
        </c:txPr>
      </c:dTable>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Figure 5. Median Housing Value</a:t>
            </a:r>
            <a:r>
              <a:rPr lang="en-US" sz="1200" baseline="0"/>
              <a:t>: </a:t>
            </a:r>
          </a:p>
          <a:p>
            <a:pPr>
              <a:defRPr/>
            </a:pPr>
            <a:r>
              <a:rPr lang="en-US" sz="1200" baseline="0"/>
              <a:t>Buffalo County and Nebraska </a:t>
            </a:r>
            <a:r>
              <a:rPr lang="en-US" sz="1200"/>
              <a:t>(2000 to 2015)</a:t>
            </a:r>
          </a:p>
        </c:rich>
      </c:tx>
      <c:overlay val="0"/>
    </c:title>
    <c:autoTitleDeleted val="0"/>
    <c:plotArea>
      <c:layout/>
      <c:lineChart>
        <c:grouping val="standard"/>
        <c:varyColors val="0"/>
        <c:ser>
          <c:idx val="0"/>
          <c:order val="0"/>
          <c:tx>
            <c:strRef>
              <c:f>Homes!$A$73</c:f>
              <c:strCache>
                <c:ptCount val="1"/>
                <c:pt idx="0">
                  <c:v>Buffalo County</c:v>
                </c:pt>
              </c:strCache>
            </c:strRef>
          </c:tx>
          <c:marker>
            <c:symbol val="none"/>
          </c:marker>
          <c:cat>
            <c:numRef>
              <c:f>Homes!$B$72:$K$72</c:f>
              <c:numCache>
                <c:formatCode>General</c:formatCode>
                <c:ptCount val="10"/>
                <c:pt idx="0">
                  <c:v>2000</c:v>
                </c:pt>
                <c:pt idx="1">
                  <c:v>2007</c:v>
                </c:pt>
                <c:pt idx="2">
                  <c:v>2008</c:v>
                </c:pt>
                <c:pt idx="3">
                  <c:v>2009</c:v>
                </c:pt>
                <c:pt idx="4">
                  <c:v>2010</c:v>
                </c:pt>
                <c:pt idx="5">
                  <c:v>2011</c:v>
                </c:pt>
                <c:pt idx="6">
                  <c:v>2012</c:v>
                </c:pt>
                <c:pt idx="7">
                  <c:v>2013</c:v>
                </c:pt>
                <c:pt idx="8">
                  <c:v>2014</c:v>
                </c:pt>
                <c:pt idx="9">
                  <c:v>2015</c:v>
                </c:pt>
              </c:numCache>
            </c:numRef>
          </c:cat>
          <c:val>
            <c:numRef>
              <c:f>Homes!$B$73:$K$73</c:f>
              <c:numCache>
                <c:formatCode>"$"#,##0_);[Red]\("$"#,##0\)</c:formatCode>
                <c:ptCount val="10"/>
                <c:pt idx="0">
                  <c:v>91300</c:v>
                </c:pt>
                <c:pt idx="1">
                  <c:v>120900</c:v>
                </c:pt>
                <c:pt idx="2">
                  <c:v>123000</c:v>
                </c:pt>
                <c:pt idx="3">
                  <c:v>124900</c:v>
                </c:pt>
                <c:pt idx="4">
                  <c:v>131800</c:v>
                </c:pt>
                <c:pt idx="5">
                  <c:v>136500</c:v>
                </c:pt>
                <c:pt idx="6">
                  <c:v>142000</c:v>
                </c:pt>
                <c:pt idx="7">
                  <c:v>146000</c:v>
                </c:pt>
                <c:pt idx="8">
                  <c:v>142800</c:v>
                </c:pt>
                <c:pt idx="9">
                  <c:v>151300</c:v>
                </c:pt>
              </c:numCache>
            </c:numRef>
          </c:val>
          <c:smooth val="0"/>
          <c:extLst>
            <c:ext xmlns:c16="http://schemas.microsoft.com/office/drawing/2014/chart" uri="{C3380CC4-5D6E-409C-BE32-E72D297353CC}">
              <c16:uniqueId val="{00000000-35C2-4013-BB90-440CF8065CCB}"/>
            </c:ext>
          </c:extLst>
        </c:ser>
        <c:ser>
          <c:idx val="1"/>
          <c:order val="1"/>
          <c:tx>
            <c:strRef>
              <c:f>Homes!$A$74</c:f>
              <c:strCache>
                <c:ptCount val="1"/>
                <c:pt idx="0">
                  <c:v>Nebraska</c:v>
                </c:pt>
              </c:strCache>
            </c:strRef>
          </c:tx>
          <c:spPr>
            <a:ln>
              <a:solidFill>
                <a:schemeClr val="tx1"/>
              </a:solidFill>
            </a:ln>
          </c:spPr>
          <c:marker>
            <c:symbol val="none"/>
          </c:marker>
          <c:cat>
            <c:numRef>
              <c:f>Homes!$B$72:$K$72</c:f>
              <c:numCache>
                <c:formatCode>General</c:formatCode>
                <c:ptCount val="10"/>
                <c:pt idx="0">
                  <c:v>2000</c:v>
                </c:pt>
                <c:pt idx="1">
                  <c:v>2007</c:v>
                </c:pt>
                <c:pt idx="2">
                  <c:v>2008</c:v>
                </c:pt>
                <c:pt idx="3">
                  <c:v>2009</c:v>
                </c:pt>
                <c:pt idx="4">
                  <c:v>2010</c:v>
                </c:pt>
                <c:pt idx="5">
                  <c:v>2011</c:v>
                </c:pt>
                <c:pt idx="6">
                  <c:v>2012</c:v>
                </c:pt>
                <c:pt idx="7">
                  <c:v>2013</c:v>
                </c:pt>
                <c:pt idx="8">
                  <c:v>2014</c:v>
                </c:pt>
                <c:pt idx="9">
                  <c:v>2015</c:v>
                </c:pt>
              </c:numCache>
            </c:numRef>
          </c:cat>
          <c:val>
            <c:numRef>
              <c:f>Homes!$B$74:$K$74</c:f>
              <c:numCache>
                <c:formatCode>"$"#,##0_);[Red]\("$"#,##0\)</c:formatCode>
                <c:ptCount val="10"/>
                <c:pt idx="0">
                  <c:v>88000</c:v>
                </c:pt>
                <c:pt idx="1">
                  <c:v>118200</c:v>
                </c:pt>
                <c:pt idx="2">
                  <c:v>122500</c:v>
                </c:pt>
                <c:pt idx="3">
                  <c:v>122600</c:v>
                </c:pt>
                <c:pt idx="4">
                  <c:v>126300</c:v>
                </c:pt>
                <c:pt idx="5">
                  <c:v>126600</c:v>
                </c:pt>
                <c:pt idx="6">
                  <c:v>127800</c:v>
                </c:pt>
                <c:pt idx="7">
                  <c:v>129400</c:v>
                </c:pt>
                <c:pt idx="8">
                  <c:v>130100</c:v>
                </c:pt>
                <c:pt idx="9">
                  <c:v>133200</c:v>
                </c:pt>
              </c:numCache>
            </c:numRef>
          </c:val>
          <c:smooth val="0"/>
          <c:extLst>
            <c:ext xmlns:c16="http://schemas.microsoft.com/office/drawing/2014/chart" uri="{C3380CC4-5D6E-409C-BE32-E72D297353CC}">
              <c16:uniqueId val="{00000001-35C2-4013-BB90-440CF8065CCB}"/>
            </c:ext>
          </c:extLst>
        </c:ser>
        <c:dLbls>
          <c:showLegendKey val="0"/>
          <c:showVal val="0"/>
          <c:showCatName val="0"/>
          <c:showSerName val="0"/>
          <c:showPercent val="0"/>
          <c:showBubbleSize val="0"/>
        </c:dLbls>
        <c:smooth val="0"/>
        <c:axId val="125530072"/>
        <c:axId val="125528504"/>
      </c:lineChart>
      <c:catAx>
        <c:axId val="125530072"/>
        <c:scaling>
          <c:orientation val="minMax"/>
        </c:scaling>
        <c:delete val="0"/>
        <c:axPos val="b"/>
        <c:numFmt formatCode="General" sourceLinked="1"/>
        <c:majorTickMark val="out"/>
        <c:minorTickMark val="none"/>
        <c:tickLblPos val="nextTo"/>
        <c:crossAx val="125528504"/>
        <c:crosses val="autoZero"/>
        <c:auto val="1"/>
        <c:lblAlgn val="ctr"/>
        <c:lblOffset val="100"/>
        <c:noMultiLvlLbl val="0"/>
      </c:catAx>
      <c:valAx>
        <c:axId val="125528504"/>
        <c:scaling>
          <c:orientation val="minMax"/>
          <c:max val="160000"/>
          <c:min val="80000"/>
        </c:scaling>
        <c:delete val="0"/>
        <c:axPos val="l"/>
        <c:majorGridlines/>
        <c:numFmt formatCode="&quot;$&quot;#,##0" sourceLinked="0"/>
        <c:majorTickMark val="out"/>
        <c:minorTickMark val="none"/>
        <c:tickLblPos val="nextTo"/>
        <c:crossAx val="125530072"/>
        <c:crosses val="autoZero"/>
        <c:crossBetween val="between"/>
        <c:majorUnit val="20000"/>
      </c:valAx>
      <c:dTable>
        <c:showHorzBorder val="1"/>
        <c:showVertBorder val="1"/>
        <c:showOutline val="1"/>
        <c:showKeys val="1"/>
        <c:txPr>
          <a:bodyPr/>
          <a:lstStyle/>
          <a:p>
            <a:pPr rtl="0">
              <a:defRPr sz="800"/>
            </a:pPr>
            <a:endParaRPr lang="en-US"/>
          </a:p>
        </c:txPr>
      </c:dTable>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Figure 6. Average Montlhy Owner</a:t>
            </a:r>
            <a:r>
              <a:rPr lang="en-US" sz="1200" baseline="0"/>
              <a:t> Costs for Mortgaged Homes: </a:t>
            </a:r>
          </a:p>
          <a:p>
            <a:pPr>
              <a:defRPr/>
            </a:pPr>
            <a:r>
              <a:rPr lang="en-US" sz="1200" baseline="0"/>
              <a:t>Buffalo County and Nebraska </a:t>
            </a:r>
            <a:r>
              <a:rPr lang="en-US" sz="1200"/>
              <a:t>(2000 to 2015)</a:t>
            </a:r>
          </a:p>
        </c:rich>
      </c:tx>
      <c:overlay val="0"/>
    </c:title>
    <c:autoTitleDeleted val="0"/>
    <c:plotArea>
      <c:layout/>
      <c:lineChart>
        <c:grouping val="standard"/>
        <c:varyColors val="0"/>
        <c:ser>
          <c:idx val="0"/>
          <c:order val="0"/>
          <c:tx>
            <c:strRef>
              <c:f>Homes!$A$93</c:f>
              <c:strCache>
                <c:ptCount val="1"/>
                <c:pt idx="0">
                  <c:v>Buffalo County</c:v>
                </c:pt>
              </c:strCache>
            </c:strRef>
          </c:tx>
          <c:marker>
            <c:symbol val="none"/>
          </c:marker>
          <c:cat>
            <c:numRef>
              <c:f>Homes!$B$92:$K$92</c:f>
              <c:numCache>
                <c:formatCode>General</c:formatCode>
                <c:ptCount val="10"/>
                <c:pt idx="0">
                  <c:v>2000</c:v>
                </c:pt>
                <c:pt idx="1">
                  <c:v>2007</c:v>
                </c:pt>
                <c:pt idx="2">
                  <c:v>2008</c:v>
                </c:pt>
                <c:pt idx="3">
                  <c:v>2009</c:v>
                </c:pt>
                <c:pt idx="4">
                  <c:v>2010</c:v>
                </c:pt>
                <c:pt idx="5">
                  <c:v>2011</c:v>
                </c:pt>
                <c:pt idx="6">
                  <c:v>2012</c:v>
                </c:pt>
                <c:pt idx="7">
                  <c:v>2013</c:v>
                </c:pt>
                <c:pt idx="8">
                  <c:v>2014</c:v>
                </c:pt>
                <c:pt idx="9">
                  <c:v>2015</c:v>
                </c:pt>
              </c:numCache>
            </c:numRef>
          </c:cat>
          <c:val>
            <c:numRef>
              <c:f>Homes!$B$93:$K$93</c:f>
              <c:numCache>
                <c:formatCode>"$"#,##0_);[Red]\("$"#,##0\)</c:formatCode>
                <c:ptCount val="10"/>
                <c:pt idx="0">
                  <c:v>887</c:v>
                </c:pt>
                <c:pt idx="1">
                  <c:v>1166</c:v>
                </c:pt>
                <c:pt idx="2">
                  <c:v>1196</c:v>
                </c:pt>
                <c:pt idx="3">
                  <c:v>1179</c:v>
                </c:pt>
                <c:pt idx="4">
                  <c:v>1205</c:v>
                </c:pt>
                <c:pt idx="5">
                  <c:v>1244</c:v>
                </c:pt>
                <c:pt idx="6">
                  <c:v>1246</c:v>
                </c:pt>
                <c:pt idx="7">
                  <c:v>1286</c:v>
                </c:pt>
                <c:pt idx="8">
                  <c:v>1310</c:v>
                </c:pt>
                <c:pt idx="9">
                  <c:v>1312</c:v>
                </c:pt>
              </c:numCache>
            </c:numRef>
          </c:val>
          <c:smooth val="0"/>
          <c:extLst>
            <c:ext xmlns:c16="http://schemas.microsoft.com/office/drawing/2014/chart" uri="{C3380CC4-5D6E-409C-BE32-E72D297353CC}">
              <c16:uniqueId val="{00000000-5EE9-49F4-B6C9-B42627C91225}"/>
            </c:ext>
          </c:extLst>
        </c:ser>
        <c:ser>
          <c:idx val="1"/>
          <c:order val="1"/>
          <c:tx>
            <c:strRef>
              <c:f>Homes!$A$94</c:f>
              <c:strCache>
                <c:ptCount val="1"/>
                <c:pt idx="0">
                  <c:v>Nebraska</c:v>
                </c:pt>
              </c:strCache>
            </c:strRef>
          </c:tx>
          <c:spPr>
            <a:ln>
              <a:solidFill>
                <a:schemeClr val="tx1"/>
              </a:solidFill>
            </a:ln>
          </c:spPr>
          <c:marker>
            <c:symbol val="none"/>
          </c:marker>
          <c:cat>
            <c:numRef>
              <c:f>Homes!$B$92:$K$92</c:f>
              <c:numCache>
                <c:formatCode>General</c:formatCode>
                <c:ptCount val="10"/>
                <c:pt idx="0">
                  <c:v>2000</c:v>
                </c:pt>
                <c:pt idx="1">
                  <c:v>2007</c:v>
                </c:pt>
                <c:pt idx="2">
                  <c:v>2008</c:v>
                </c:pt>
                <c:pt idx="3">
                  <c:v>2009</c:v>
                </c:pt>
                <c:pt idx="4">
                  <c:v>2010</c:v>
                </c:pt>
                <c:pt idx="5">
                  <c:v>2011</c:v>
                </c:pt>
                <c:pt idx="6">
                  <c:v>2012</c:v>
                </c:pt>
                <c:pt idx="7">
                  <c:v>2013</c:v>
                </c:pt>
                <c:pt idx="8">
                  <c:v>2014</c:v>
                </c:pt>
                <c:pt idx="9">
                  <c:v>2015</c:v>
                </c:pt>
              </c:numCache>
            </c:numRef>
          </c:cat>
          <c:val>
            <c:numRef>
              <c:f>Homes!$B$94:$K$94</c:f>
              <c:numCache>
                <c:formatCode>"$"#,##0_);[Red]\("$"#,##0\)</c:formatCode>
                <c:ptCount val="10"/>
                <c:pt idx="0">
                  <c:v>895</c:v>
                </c:pt>
                <c:pt idx="1">
                  <c:v>1188</c:v>
                </c:pt>
                <c:pt idx="2">
                  <c:v>1239</c:v>
                </c:pt>
                <c:pt idx="3">
                  <c:v>1221</c:v>
                </c:pt>
                <c:pt idx="4">
                  <c:v>1243</c:v>
                </c:pt>
                <c:pt idx="5">
                  <c:v>1265</c:v>
                </c:pt>
                <c:pt idx="6">
                  <c:v>1261</c:v>
                </c:pt>
                <c:pt idx="7">
                  <c:v>1249</c:v>
                </c:pt>
                <c:pt idx="8">
                  <c:v>1279</c:v>
                </c:pt>
                <c:pt idx="9">
                  <c:v>1270</c:v>
                </c:pt>
              </c:numCache>
            </c:numRef>
          </c:val>
          <c:smooth val="0"/>
          <c:extLst>
            <c:ext xmlns:c16="http://schemas.microsoft.com/office/drawing/2014/chart" uri="{C3380CC4-5D6E-409C-BE32-E72D297353CC}">
              <c16:uniqueId val="{00000001-5EE9-49F4-B6C9-B42627C91225}"/>
            </c:ext>
          </c:extLst>
        </c:ser>
        <c:dLbls>
          <c:showLegendKey val="0"/>
          <c:showVal val="0"/>
          <c:showCatName val="0"/>
          <c:showSerName val="0"/>
          <c:showPercent val="0"/>
          <c:showBubbleSize val="0"/>
        </c:dLbls>
        <c:smooth val="0"/>
        <c:axId val="124370128"/>
        <c:axId val="124366208"/>
      </c:lineChart>
      <c:catAx>
        <c:axId val="124370128"/>
        <c:scaling>
          <c:orientation val="minMax"/>
        </c:scaling>
        <c:delete val="0"/>
        <c:axPos val="b"/>
        <c:numFmt formatCode="General" sourceLinked="1"/>
        <c:majorTickMark val="out"/>
        <c:minorTickMark val="none"/>
        <c:tickLblPos val="nextTo"/>
        <c:crossAx val="124366208"/>
        <c:crosses val="autoZero"/>
        <c:auto val="1"/>
        <c:lblAlgn val="ctr"/>
        <c:lblOffset val="100"/>
        <c:noMultiLvlLbl val="0"/>
      </c:catAx>
      <c:valAx>
        <c:axId val="124366208"/>
        <c:scaling>
          <c:orientation val="minMax"/>
          <c:max val="1400"/>
          <c:min val="600"/>
        </c:scaling>
        <c:delete val="0"/>
        <c:axPos val="l"/>
        <c:majorGridlines/>
        <c:numFmt formatCode="&quot;$&quot;#,##0" sourceLinked="0"/>
        <c:majorTickMark val="out"/>
        <c:minorTickMark val="none"/>
        <c:tickLblPos val="nextTo"/>
        <c:crossAx val="124370128"/>
        <c:crosses val="autoZero"/>
        <c:crossBetween val="between"/>
        <c:majorUnit val="200"/>
      </c:valAx>
      <c:dTable>
        <c:showHorzBorder val="1"/>
        <c:showVertBorder val="1"/>
        <c:showOutline val="1"/>
        <c:showKeys val="1"/>
        <c:txPr>
          <a:bodyPr/>
          <a:lstStyle/>
          <a:p>
            <a:pPr rtl="0">
              <a:defRPr sz="900"/>
            </a:pPr>
            <a:endParaRPr lang="en-US"/>
          </a:p>
        </c:txPr>
      </c:dTable>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Figure 7. Median Cost of Rent</a:t>
            </a:r>
            <a:r>
              <a:rPr lang="en-US" sz="1200" baseline="0"/>
              <a:t>: </a:t>
            </a:r>
          </a:p>
          <a:p>
            <a:pPr>
              <a:defRPr/>
            </a:pPr>
            <a:r>
              <a:rPr lang="en-US" sz="1200" baseline="0"/>
              <a:t>Buffalo County and Nebraska </a:t>
            </a:r>
            <a:r>
              <a:rPr lang="en-US" sz="1200"/>
              <a:t>(2000 to 2015)</a:t>
            </a:r>
          </a:p>
        </c:rich>
      </c:tx>
      <c:overlay val="0"/>
    </c:title>
    <c:autoTitleDeleted val="0"/>
    <c:plotArea>
      <c:layout/>
      <c:lineChart>
        <c:grouping val="standard"/>
        <c:varyColors val="0"/>
        <c:ser>
          <c:idx val="0"/>
          <c:order val="0"/>
          <c:tx>
            <c:strRef>
              <c:f>Homes!$A$114</c:f>
              <c:strCache>
                <c:ptCount val="1"/>
                <c:pt idx="0">
                  <c:v>Buffalo County</c:v>
                </c:pt>
              </c:strCache>
            </c:strRef>
          </c:tx>
          <c:marker>
            <c:symbol val="none"/>
          </c:marker>
          <c:cat>
            <c:numRef>
              <c:f>Homes!$B$113:$K$113</c:f>
              <c:numCache>
                <c:formatCode>General</c:formatCode>
                <c:ptCount val="10"/>
                <c:pt idx="0">
                  <c:v>2000</c:v>
                </c:pt>
                <c:pt idx="1">
                  <c:v>2007</c:v>
                </c:pt>
                <c:pt idx="2">
                  <c:v>2008</c:v>
                </c:pt>
                <c:pt idx="3">
                  <c:v>2009</c:v>
                </c:pt>
                <c:pt idx="4">
                  <c:v>2010</c:v>
                </c:pt>
                <c:pt idx="5">
                  <c:v>2011</c:v>
                </c:pt>
                <c:pt idx="6">
                  <c:v>2012</c:v>
                </c:pt>
                <c:pt idx="7">
                  <c:v>2013</c:v>
                </c:pt>
                <c:pt idx="8">
                  <c:v>2014</c:v>
                </c:pt>
                <c:pt idx="9">
                  <c:v>2015</c:v>
                </c:pt>
              </c:numCache>
            </c:numRef>
          </c:cat>
          <c:val>
            <c:numRef>
              <c:f>Homes!$B$114:$K$114</c:f>
              <c:numCache>
                <c:formatCode>"$"#,##0_);[Red]\("$"#,##0\)</c:formatCode>
                <c:ptCount val="10"/>
                <c:pt idx="0">
                  <c:v>495</c:v>
                </c:pt>
                <c:pt idx="1">
                  <c:v>596</c:v>
                </c:pt>
                <c:pt idx="2">
                  <c:v>622</c:v>
                </c:pt>
                <c:pt idx="3">
                  <c:v>625</c:v>
                </c:pt>
                <c:pt idx="4">
                  <c:v>623</c:v>
                </c:pt>
                <c:pt idx="5">
                  <c:v>625</c:v>
                </c:pt>
                <c:pt idx="6">
                  <c:v>649</c:v>
                </c:pt>
                <c:pt idx="7">
                  <c:v>679</c:v>
                </c:pt>
                <c:pt idx="8">
                  <c:v>706</c:v>
                </c:pt>
                <c:pt idx="9">
                  <c:v>722</c:v>
                </c:pt>
              </c:numCache>
            </c:numRef>
          </c:val>
          <c:smooth val="0"/>
          <c:extLst>
            <c:ext xmlns:c16="http://schemas.microsoft.com/office/drawing/2014/chart" uri="{C3380CC4-5D6E-409C-BE32-E72D297353CC}">
              <c16:uniqueId val="{00000000-141F-4C60-A745-19F8ABFBD087}"/>
            </c:ext>
          </c:extLst>
        </c:ser>
        <c:ser>
          <c:idx val="1"/>
          <c:order val="1"/>
          <c:tx>
            <c:strRef>
              <c:f>Homes!$A$115</c:f>
              <c:strCache>
                <c:ptCount val="1"/>
                <c:pt idx="0">
                  <c:v>Nebraska</c:v>
                </c:pt>
              </c:strCache>
            </c:strRef>
          </c:tx>
          <c:spPr>
            <a:ln>
              <a:solidFill>
                <a:schemeClr val="tx1"/>
              </a:solidFill>
            </a:ln>
          </c:spPr>
          <c:marker>
            <c:symbol val="none"/>
          </c:marker>
          <c:cat>
            <c:numRef>
              <c:f>Homes!$B$113:$K$113</c:f>
              <c:numCache>
                <c:formatCode>General</c:formatCode>
                <c:ptCount val="10"/>
                <c:pt idx="0">
                  <c:v>2000</c:v>
                </c:pt>
                <c:pt idx="1">
                  <c:v>2007</c:v>
                </c:pt>
                <c:pt idx="2">
                  <c:v>2008</c:v>
                </c:pt>
                <c:pt idx="3">
                  <c:v>2009</c:v>
                </c:pt>
                <c:pt idx="4">
                  <c:v>2010</c:v>
                </c:pt>
                <c:pt idx="5">
                  <c:v>2011</c:v>
                </c:pt>
                <c:pt idx="6">
                  <c:v>2012</c:v>
                </c:pt>
                <c:pt idx="7">
                  <c:v>2013</c:v>
                </c:pt>
                <c:pt idx="8">
                  <c:v>2014</c:v>
                </c:pt>
                <c:pt idx="9">
                  <c:v>2015</c:v>
                </c:pt>
              </c:numCache>
            </c:numRef>
          </c:cat>
          <c:val>
            <c:numRef>
              <c:f>Homes!$B$115:$K$115</c:f>
              <c:numCache>
                <c:formatCode>"$"#,##0_);[Red]\("$"#,##0\)</c:formatCode>
                <c:ptCount val="10"/>
                <c:pt idx="0">
                  <c:v>491</c:v>
                </c:pt>
                <c:pt idx="1">
                  <c:v>610</c:v>
                </c:pt>
                <c:pt idx="2">
                  <c:v>634</c:v>
                </c:pt>
                <c:pt idx="3">
                  <c:v>635</c:v>
                </c:pt>
                <c:pt idx="4">
                  <c:v>651</c:v>
                </c:pt>
                <c:pt idx="5">
                  <c:v>680</c:v>
                </c:pt>
                <c:pt idx="6">
                  <c:v>694</c:v>
                </c:pt>
                <c:pt idx="7">
                  <c:v>704</c:v>
                </c:pt>
                <c:pt idx="8">
                  <c:v>721</c:v>
                </c:pt>
                <c:pt idx="9">
                  <c:v>726</c:v>
                </c:pt>
              </c:numCache>
            </c:numRef>
          </c:val>
          <c:smooth val="0"/>
          <c:extLst>
            <c:ext xmlns:c16="http://schemas.microsoft.com/office/drawing/2014/chart" uri="{C3380CC4-5D6E-409C-BE32-E72D297353CC}">
              <c16:uniqueId val="{00000001-141F-4C60-A745-19F8ABFBD087}"/>
            </c:ext>
          </c:extLst>
        </c:ser>
        <c:dLbls>
          <c:showLegendKey val="0"/>
          <c:showVal val="0"/>
          <c:showCatName val="0"/>
          <c:showSerName val="0"/>
          <c:showPercent val="0"/>
          <c:showBubbleSize val="0"/>
        </c:dLbls>
        <c:smooth val="0"/>
        <c:axId val="124369344"/>
        <c:axId val="124370912"/>
      </c:lineChart>
      <c:catAx>
        <c:axId val="124369344"/>
        <c:scaling>
          <c:orientation val="minMax"/>
        </c:scaling>
        <c:delete val="0"/>
        <c:axPos val="b"/>
        <c:numFmt formatCode="General" sourceLinked="1"/>
        <c:majorTickMark val="out"/>
        <c:minorTickMark val="none"/>
        <c:tickLblPos val="nextTo"/>
        <c:crossAx val="124370912"/>
        <c:crosses val="autoZero"/>
        <c:auto val="1"/>
        <c:lblAlgn val="ctr"/>
        <c:lblOffset val="100"/>
        <c:noMultiLvlLbl val="0"/>
      </c:catAx>
      <c:valAx>
        <c:axId val="124370912"/>
        <c:scaling>
          <c:orientation val="minMax"/>
          <c:max val="800"/>
          <c:min val="400"/>
        </c:scaling>
        <c:delete val="0"/>
        <c:axPos val="l"/>
        <c:majorGridlines/>
        <c:numFmt formatCode="&quot;$&quot;#,##0" sourceLinked="0"/>
        <c:majorTickMark val="out"/>
        <c:minorTickMark val="none"/>
        <c:tickLblPos val="nextTo"/>
        <c:crossAx val="124369344"/>
        <c:crosses val="autoZero"/>
        <c:crossBetween val="between"/>
        <c:majorUnit val="200"/>
      </c:valAx>
      <c:dTable>
        <c:showHorzBorder val="1"/>
        <c:showVertBorder val="1"/>
        <c:showOutline val="1"/>
        <c:showKeys val="1"/>
        <c:txPr>
          <a:bodyPr/>
          <a:lstStyle/>
          <a:p>
            <a:pPr rtl="0">
              <a:defRPr sz="900"/>
            </a:pPr>
            <a:endParaRPr lang="en-US"/>
          </a:p>
        </c:txPr>
      </c:dTable>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8. Percentage of Housing Units Built in 2000 or Later</a:t>
            </a:r>
            <a:r>
              <a:rPr lang="en-US" sz="1200" baseline="0"/>
              <a:t>: Buffalo County and Nebraska (2015)</a:t>
            </a:r>
            <a:endParaRPr lang="en-US" sz="1200"/>
          </a:p>
        </c:rich>
      </c:tx>
      <c:overlay val="0"/>
    </c:title>
    <c:autoTitleDeleted val="0"/>
    <c:plotArea>
      <c:layout/>
      <c:barChart>
        <c:barDir val="col"/>
        <c:grouping val="clustered"/>
        <c:varyColors val="0"/>
        <c:ser>
          <c:idx val="0"/>
          <c:order val="0"/>
          <c:tx>
            <c:v> </c:v>
          </c:tx>
          <c:spPr>
            <a:solidFill>
              <a:schemeClr val="accent5">
                <a:lumMod val="40000"/>
                <a:lumOff val="60000"/>
              </a:schemeClr>
            </a:solidFill>
          </c:spPr>
          <c:invertIfNegative val="0"/>
          <c:dPt>
            <c:idx val="0"/>
            <c:invertIfNegative val="0"/>
            <c:bubble3D val="0"/>
            <c:extLst>
              <c:ext xmlns:c16="http://schemas.microsoft.com/office/drawing/2014/chart" uri="{C3380CC4-5D6E-409C-BE32-E72D297353CC}">
                <c16:uniqueId val="{00000000-00D7-4BD7-98CF-209067896330}"/>
              </c:ext>
            </c:extLst>
          </c:dPt>
          <c:cat>
            <c:strRef>
              <c:f>Homes!$A$173:$A$174</c:f>
              <c:strCache>
                <c:ptCount val="2"/>
                <c:pt idx="0">
                  <c:v>Buffalo County</c:v>
                </c:pt>
                <c:pt idx="1">
                  <c:v>Nebraska</c:v>
                </c:pt>
              </c:strCache>
            </c:strRef>
          </c:cat>
          <c:val>
            <c:numRef>
              <c:f>Homes!$B$173:$B$174</c:f>
              <c:numCache>
                <c:formatCode>0.0%</c:formatCode>
                <c:ptCount val="2"/>
                <c:pt idx="0">
                  <c:v>0.17100000000000001</c:v>
                </c:pt>
                <c:pt idx="1">
                  <c:v>0.14199999999999999</c:v>
                </c:pt>
              </c:numCache>
            </c:numRef>
          </c:val>
          <c:extLst>
            <c:ext xmlns:c16="http://schemas.microsoft.com/office/drawing/2014/chart" uri="{C3380CC4-5D6E-409C-BE32-E72D297353CC}">
              <c16:uniqueId val="{00000001-00D7-4BD7-98CF-209067896330}"/>
            </c:ext>
          </c:extLst>
        </c:ser>
        <c:dLbls>
          <c:showLegendKey val="0"/>
          <c:showVal val="0"/>
          <c:showCatName val="0"/>
          <c:showSerName val="0"/>
          <c:showPercent val="0"/>
          <c:showBubbleSize val="0"/>
        </c:dLbls>
        <c:gapWidth val="150"/>
        <c:axId val="126291768"/>
        <c:axId val="126292160"/>
      </c:barChart>
      <c:catAx>
        <c:axId val="126291768"/>
        <c:scaling>
          <c:orientation val="minMax"/>
        </c:scaling>
        <c:delete val="0"/>
        <c:axPos val="b"/>
        <c:numFmt formatCode="General" sourceLinked="1"/>
        <c:majorTickMark val="none"/>
        <c:minorTickMark val="none"/>
        <c:tickLblPos val="nextTo"/>
        <c:crossAx val="126292160"/>
        <c:crosses val="autoZero"/>
        <c:auto val="1"/>
        <c:lblAlgn val="ctr"/>
        <c:lblOffset val="100"/>
        <c:noMultiLvlLbl val="0"/>
      </c:catAx>
      <c:valAx>
        <c:axId val="126292160"/>
        <c:scaling>
          <c:orientation val="minMax"/>
          <c:max val="0.2"/>
          <c:min val="0"/>
        </c:scaling>
        <c:delete val="0"/>
        <c:axPos val="l"/>
        <c:majorGridlines/>
        <c:numFmt formatCode="0%" sourceLinked="0"/>
        <c:majorTickMark val="none"/>
        <c:minorTickMark val="none"/>
        <c:tickLblPos val="nextTo"/>
        <c:crossAx val="126291768"/>
        <c:crosses val="autoZero"/>
        <c:crossBetween val="between"/>
        <c:majorUnit val="5.000000000000001E-2"/>
      </c:valAx>
      <c:dTable>
        <c:showHorzBorder val="1"/>
        <c:showVertBorder val="1"/>
        <c:showOutline val="1"/>
        <c:showKeys val="1"/>
        <c:txPr>
          <a:bodyPr/>
          <a:lstStyle/>
          <a:p>
            <a:pPr rtl="0">
              <a:defRPr sz="900"/>
            </a:pPr>
            <a:endParaRPr lang="en-US"/>
          </a:p>
        </c:txPr>
      </c:dTable>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Figure 9. Percent of the</a:t>
            </a:r>
            <a:r>
              <a:rPr lang="en-US" sz="1200" baseline="0"/>
              <a:t> Population in Poverty: </a:t>
            </a:r>
          </a:p>
          <a:p>
            <a:pPr>
              <a:defRPr/>
            </a:pPr>
            <a:r>
              <a:rPr lang="en-US" sz="1200" baseline="0"/>
              <a:t>Buffalo County and Nebraska </a:t>
            </a:r>
            <a:r>
              <a:rPr lang="en-US" sz="1200"/>
              <a:t>(2000 to 2015)</a:t>
            </a:r>
          </a:p>
        </c:rich>
      </c:tx>
      <c:overlay val="0"/>
    </c:title>
    <c:autoTitleDeleted val="0"/>
    <c:plotArea>
      <c:layout/>
      <c:lineChart>
        <c:grouping val="standard"/>
        <c:varyColors val="0"/>
        <c:ser>
          <c:idx val="0"/>
          <c:order val="0"/>
          <c:tx>
            <c:strRef>
              <c:f>Homes!$A$192</c:f>
              <c:strCache>
                <c:ptCount val="1"/>
                <c:pt idx="0">
                  <c:v>Buffalo County</c:v>
                </c:pt>
              </c:strCache>
            </c:strRef>
          </c:tx>
          <c:marker>
            <c:symbol val="none"/>
          </c:marker>
          <c:cat>
            <c:numRef>
              <c:f>Homes!$B$191:$K$191</c:f>
              <c:numCache>
                <c:formatCode>General</c:formatCode>
                <c:ptCount val="10"/>
                <c:pt idx="0">
                  <c:v>2000</c:v>
                </c:pt>
                <c:pt idx="1">
                  <c:v>2007</c:v>
                </c:pt>
                <c:pt idx="2">
                  <c:v>2008</c:v>
                </c:pt>
                <c:pt idx="3">
                  <c:v>2009</c:v>
                </c:pt>
                <c:pt idx="4">
                  <c:v>2010</c:v>
                </c:pt>
                <c:pt idx="5">
                  <c:v>2011</c:v>
                </c:pt>
                <c:pt idx="6">
                  <c:v>2012</c:v>
                </c:pt>
                <c:pt idx="7">
                  <c:v>2013</c:v>
                </c:pt>
                <c:pt idx="8">
                  <c:v>2014</c:v>
                </c:pt>
                <c:pt idx="9">
                  <c:v>2015</c:v>
                </c:pt>
              </c:numCache>
            </c:numRef>
          </c:cat>
          <c:val>
            <c:numRef>
              <c:f>Homes!$B$192:$K$192</c:f>
              <c:numCache>
                <c:formatCode>0.0%</c:formatCode>
                <c:ptCount val="10"/>
                <c:pt idx="0">
                  <c:v>0.112</c:v>
                </c:pt>
                <c:pt idx="1">
                  <c:v>0.11899999999999999</c:v>
                </c:pt>
                <c:pt idx="2">
                  <c:v>0.127</c:v>
                </c:pt>
                <c:pt idx="3">
                  <c:v>0.157</c:v>
                </c:pt>
                <c:pt idx="4">
                  <c:v>0.152</c:v>
                </c:pt>
                <c:pt idx="5">
                  <c:v>0.14299999999999999</c:v>
                </c:pt>
                <c:pt idx="6">
                  <c:v>0.121</c:v>
                </c:pt>
                <c:pt idx="7">
                  <c:v>0.128</c:v>
                </c:pt>
                <c:pt idx="8">
                  <c:v>0.123</c:v>
                </c:pt>
                <c:pt idx="9">
                  <c:v>0.13100000000000001</c:v>
                </c:pt>
              </c:numCache>
            </c:numRef>
          </c:val>
          <c:smooth val="0"/>
          <c:extLst>
            <c:ext xmlns:c16="http://schemas.microsoft.com/office/drawing/2014/chart" uri="{C3380CC4-5D6E-409C-BE32-E72D297353CC}">
              <c16:uniqueId val="{00000000-F7EF-4145-A430-5AF76AE1CBDF}"/>
            </c:ext>
          </c:extLst>
        </c:ser>
        <c:ser>
          <c:idx val="1"/>
          <c:order val="1"/>
          <c:tx>
            <c:strRef>
              <c:f>Homes!$A$193</c:f>
              <c:strCache>
                <c:ptCount val="1"/>
                <c:pt idx="0">
                  <c:v>Nebraska</c:v>
                </c:pt>
              </c:strCache>
            </c:strRef>
          </c:tx>
          <c:spPr>
            <a:ln>
              <a:solidFill>
                <a:schemeClr val="tx1"/>
              </a:solidFill>
            </a:ln>
          </c:spPr>
          <c:marker>
            <c:symbol val="none"/>
          </c:marker>
          <c:cat>
            <c:numRef>
              <c:f>Homes!$B$191:$K$191</c:f>
              <c:numCache>
                <c:formatCode>General</c:formatCode>
                <c:ptCount val="10"/>
                <c:pt idx="0">
                  <c:v>2000</c:v>
                </c:pt>
                <c:pt idx="1">
                  <c:v>2007</c:v>
                </c:pt>
                <c:pt idx="2">
                  <c:v>2008</c:v>
                </c:pt>
                <c:pt idx="3">
                  <c:v>2009</c:v>
                </c:pt>
                <c:pt idx="4">
                  <c:v>2010</c:v>
                </c:pt>
                <c:pt idx="5">
                  <c:v>2011</c:v>
                </c:pt>
                <c:pt idx="6">
                  <c:v>2012</c:v>
                </c:pt>
                <c:pt idx="7">
                  <c:v>2013</c:v>
                </c:pt>
                <c:pt idx="8">
                  <c:v>2014</c:v>
                </c:pt>
                <c:pt idx="9">
                  <c:v>2015</c:v>
                </c:pt>
              </c:numCache>
            </c:numRef>
          </c:cat>
          <c:val>
            <c:numRef>
              <c:f>Homes!$B$193:$K$193</c:f>
              <c:numCache>
                <c:formatCode>0.0%</c:formatCode>
                <c:ptCount val="10"/>
                <c:pt idx="0">
                  <c:v>9.7000000000000003E-2</c:v>
                </c:pt>
                <c:pt idx="1">
                  <c:v>0.113</c:v>
                </c:pt>
                <c:pt idx="2">
                  <c:v>0.111</c:v>
                </c:pt>
                <c:pt idx="3">
                  <c:v>0.11700000000000001</c:v>
                </c:pt>
                <c:pt idx="4">
                  <c:v>0.11899999999999999</c:v>
                </c:pt>
                <c:pt idx="5">
                  <c:v>0.127</c:v>
                </c:pt>
                <c:pt idx="6">
                  <c:v>0.13</c:v>
                </c:pt>
                <c:pt idx="7">
                  <c:v>0.13100000000000001</c:v>
                </c:pt>
                <c:pt idx="8">
                  <c:v>0.129</c:v>
                </c:pt>
                <c:pt idx="9">
                  <c:v>0.127</c:v>
                </c:pt>
              </c:numCache>
            </c:numRef>
          </c:val>
          <c:smooth val="0"/>
          <c:extLst>
            <c:ext xmlns:c16="http://schemas.microsoft.com/office/drawing/2014/chart" uri="{C3380CC4-5D6E-409C-BE32-E72D297353CC}">
              <c16:uniqueId val="{00000001-F7EF-4145-A430-5AF76AE1CBDF}"/>
            </c:ext>
          </c:extLst>
        </c:ser>
        <c:dLbls>
          <c:showLegendKey val="0"/>
          <c:showVal val="0"/>
          <c:showCatName val="0"/>
          <c:showSerName val="0"/>
          <c:showPercent val="0"/>
          <c:showBubbleSize val="0"/>
        </c:dLbls>
        <c:smooth val="0"/>
        <c:axId val="126294904"/>
        <c:axId val="126293728"/>
      </c:lineChart>
      <c:catAx>
        <c:axId val="126294904"/>
        <c:scaling>
          <c:orientation val="minMax"/>
        </c:scaling>
        <c:delete val="0"/>
        <c:axPos val="b"/>
        <c:numFmt formatCode="General" sourceLinked="1"/>
        <c:majorTickMark val="out"/>
        <c:minorTickMark val="none"/>
        <c:tickLblPos val="nextTo"/>
        <c:crossAx val="126293728"/>
        <c:crosses val="autoZero"/>
        <c:auto val="1"/>
        <c:lblAlgn val="ctr"/>
        <c:lblOffset val="100"/>
        <c:noMultiLvlLbl val="0"/>
      </c:catAx>
      <c:valAx>
        <c:axId val="126293728"/>
        <c:scaling>
          <c:orientation val="minMax"/>
          <c:max val="0.2"/>
          <c:min val="0"/>
        </c:scaling>
        <c:delete val="0"/>
        <c:axPos val="l"/>
        <c:majorGridlines/>
        <c:numFmt formatCode="0%" sourceLinked="0"/>
        <c:majorTickMark val="out"/>
        <c:minorTickMark val="none"/>
        <c:tickLblPos val="nextTo"/>
        <c:crossAx val="126294904"/>
        <c:crosses val="autoZero"/>
        <c:crossBetween val="between"/>
        <c:majorUnit val="0.05"/>
      </c:valAx>
      <c:dTable>
        <c:showHorzBorder val="1"/>
        <c:showVertBorder val="1"/>
        <c:showOutline val="1"/>
        <c:showKeys val="1"/>
        <c:txPr>
          <a:bodyPr/>
          <a:lstStyle/>
          <a:p>
            <a:pPr rtl="0">
              <a:defRPr sz="900"/>
            </a:pPr>
            <a:endParaRPr lang="en-US"/>
          </a:p>
        </c:txPr>
      </c:dTable>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1</Pages>
  <Words>736</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Schmeeckle</dc:creator>
  <cp:keywords/>
  <dc:description/>
  <cp:lastModifiedBy>Will Schmeeckle</cp:lastModifiedBy>
  <cp:revision>30</cp:revision>
  <cp:lastPrinted>2015-06-15T17:49:00Z</cp:lastPrinted>
  <dcterms:created xsi:type="dcterms:W3CDTF">2013-06-03T20:58:00Z</dcterms:created>
  <dcterms:modified xsi:type="dcterms:W3CDTF">2017-07-27T21:36:00Z</dcterms:modified>
</cp:coreProperties>
</file>